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23C" w:rsidRPr="00CA2B3A" w:rsidRDefault="0025423C" w:rsidP="0025423C">
      <w:pPr>
        <w:spacing w:line="560" w:lineRule="exact"/>
        <w:rPr>
          <w:rFonts w:asciiTheme="minorEastAsia" w:hAnsiTheme="minorEastAsia"/>
          <w:b/>
          <w:sz w:val="28"/>
          <w:szCs w:val="28"/>
        </w:rPr>
      </w:pPr>
      <w:r w:rsidRPr="00CA2B3A">
        <w:rPr>
          <w:rFonts w:asciiTheme="minorEastAsia" w:hAnsiTheme="minorEastAsia" w:hint="eastAsia"/>
          <w:b/>
          <w:sz w:val="28"/>
          <w:szCs w:val="28"/>
        </w:rPr>
        <w:t>附件1：</w:t>
      </w:r>
    </w:p>
    <w:p w:rsidR="0025423C" w:rsidRPr="00CA2B3A" w:rsidRDefault="0025423C" w:rsidP="0025423C">
      <w:pPr>
        <w:spacing w:beforeLines="50" w:before="156"/>
        <w:jc w:val="center"/>
        <w:rPr>
          <w:rFonts w:ascii="方正小标宋简体" w:eastAsia="方正小标宋简体" w:hAnsi="黑体"/>
          <w:sz w:val="44"/>
          <w:szCs w:val="44"/>
        </w:rPr>
      </w:pPr>
      <w:r w:rsidRPr="00CA2B3A">
        <w:rPr>
          <w:rFonts w:ascii="方正小标宋简体" w:eastAsia="方正小标宋简体" w:hAnsi="黑体" w:hint="eastAsia"/>
          <w:sz w:val="44"/>
          <w:szCs w:val="44"/>
        </w:rPr>
        <w:t>2022年度江苏省行业领域（基础研究领域）</w:t>
      </w:r>
    </w:p>
    <w:p w:rsidR="0025423C" w:rsidRPr="00CA2B3A" w:rsidRDefault="0025423C" w:rsidP="0025423C">
      <w:pPr>
        <w:jc w:val="center"/>
        <w:rPr>
          <w:rFonts w:ascii="方正小标宋简体" w:eastAsia="方正小标宋简体" w:hAnsi="黑体"/>
          <w:sz w:val="44"/>
          <w:szCs w:val="44"/>
        </w:rPr>
      </w:pPr>
      <w:r w:rsidRPr="00CA2B3A">
        <w:rPr>
          <w:rFonts w:ascii="方正小标宋简体" w:eastAsia="方正小标宋简体" w:hAnsi="黑体" w:hint="eastAsia"/>
          <w:sz w:val="44"/>
          <w:szCs w:val="44"/>
        </w:rPr>
        <w:t>十大科技进展</w:t>
      </w:r>
    </w:p>
    <w:p w:rsidR="0025423C" w:rsidRPr="00CA2B3A" w:rsidRDefault="0025423C" w:rsidP="0025423C">
      <w:pPr>
        <w:ind w:firstLineChars="200" w:firstLine="480"/>
        <w:rPr>
          <w:rFonts w:asciiTheme="minorEastAsia" w:hAnsiTheme="minorEastAsia"/>
          <w:sz w:val="24"/>
          <w:szCs w:val="28"/>
        </w:rPr>
      </w:pPr>
    </w:p>
    <w:p w:rsidR="0025423C" w:rsidRPr="00887CBD" w:rsidRDefault="0025423C" w:rsidP="0025423C">
      <w:pPr>
        <w:pStyle w:val="a5"/>
        <w:numPr>
          <w:ilvl w:val="0"/>
          <w:numId w:val="1"/>
        </w:numPr>
        <w:spacing w:line="560" w:lineRule="exact"/>
        <w:ind w:firstLineChars="0"/>
        <w:rPr>
          <w:rFonts w:asciiTheme="minorEastAsia" w:hAnsiTheme="minorEastAsia"/>
          <w:b/>
          <w:sz w:val="28"/>
          <w:szCs w:val="28"/>
        </w:rPr>
      </w:pPr>
      <w:r w:rsidRPr="00887CBD">
        <w:rPr>
          <w:rFonts w:asciiTheme="minorEastAsia" w:hAnsiTheme="minorEastAsia"/>
          <w:b/>
          <w:sz w:val="28"/>
          <w:szCs w:val="28"/>
        </w:rPr>
        <w:t>高效稳定低成本丝网印刷钙钛矿太阳能电池</w:t>
      </w:r>
    </w:p>
    <w:p w:rsidR="0025423C" w:rsidRPr="007338F9" w:rsidRDefault="0025423C" w:rsidP="0025423C">
      <w:pPr>
        <w:spacing w:line="560" w:lineRule="exact"/>
        <w:ind w:firstLine="350"/>
        <w:rPr>
          <w:rFonts w:asciiTheme="minorEastAsia" w:hAnsiTheme="minorEastAsia"/>
          <w:sz w:val="28"/>
          <w:szCs w:val="28"/>
        </w:rPr>
      </w:pPr>
      <w:r w:rsidRPr="007338F9">
        <w:rPr>
          <w:rFonts w:asciiTheme="minorEastAsia" w:hAnsiTheme="minorEastAsia" w:hint="eastAsia"/>
          <w:b/>
          <w:spacing w:val="38"/>
          <w:sz w:val="28"/>
          <w:szCs w:val="28"/>
        </w:rPr>
        <w:t>提名单位：</w:t>
      </w:r>
      <w:r w:rsidRPr="007338F9">
        <w:rPr>
          <w:rFonts w:asciiTheme="minorEastAsia" w:hAnsiTheme="minorEastAsia"/>
          <w:sz w:val="28"/>
          <w:szCs w:val="28"/>
        </w:rPr>
        <w:t>南京工业大学科学技术协会</w:t>
      </w:r>
    </w:p>
    <w:p w:rsidR="0025423C" w:rsidRPr="007338F9" w:rsidRDefault="0025423C" w:rsidP="0025423C">
      <w:pPr>
        <w:spacing w:line="560" w:lineRule="exact"/>
        <w:ind w:firstLine="350"/>
        <w:rPr>
          <w:rFonts w:asciiTheme="minorEastAsia" w:hAnsiTheme="minorEastAsia" w:cs="Times New Roman"/>
          <w:kern w:val="0"/>
          <w:sz w:val="28"/>
          <w:szCs w:val="28"/>
        </w:rPr>
      </w:pPr>
      <w:r w:rsidRPr="007338F9">
        <w:rPr>
          <w:rFonts w:asciiTheme="minorEastAsia" w:hAnsiTheme="minorEastAsia"/>
          <w:b/>
          <w:spacing w:val="38"/>
          <w:sz w:val="28"/>
          <w:szCs w:val="28"/>
        </w:rPr>
        <w:t>完成单位：</w:t>
      </w:r>
      <w:r w:rsidRPr="007338F9">
        <w:rPr>
          <w:rFonts w:asciiTheme="minorEastAsia" w:hAnsiTheme="minorEastAsia"/>
          <w:sz w:val="28"/>
          <w:szCs w:val="28"/>
        </w:rPr>
        <w:t>南京工业大学、西北工业大学</w:t>
      </w:r>
    </w:p>
    <w:p w:rsidR="0025423C" w:rsidRDefault="0025423C" w:rsidP="0025423C">
      <w:pPr>
        <w:spacing w:line="560" w:lineRule="exact"/>
        <w:ind w:firstLine="350"/>
        <w:rPr>
          <w:rFonts w:asciiTheme="minorEastAsia" w:hAnsiTheme="minorEastAsia" w:hint="eastAsia"/>
          <w:sz w:val="28"/>
          <w:szCs w:val="28"/>
        </w:rPr>
      </w:pPr>
      <w:r w:rsidRPr="007338F9">
        <w:rPr>
          <w:rFonts w:asciiTheme="minorEastAsia" w:hAnsiTheme="minorEastAsia"/>
          <w:b/>
          <w:sz w:val="28"/>
          <w:szCs w:val="28"/>
        </w:rPr>
        <w:t>主要完成人：</w:t>
      </w:r>
      <w:r>
        <w:rPr>
          <w:rFonts w:asciiTheme="minorEastAsia" w:hAnsiTheme="minorEastAsia" w:hint="eastAsia"/>
          <w:sz w:val="28"/>
          <w:szCs w:val="28"/>
        </w:rPr>
        <w:t xml:space="preserve"> </w:t>
      </w:r>
      <w:r w:rsidRPr="007338F9">
        <w:rPr>
          <w:rFonts w:asciiTheme="minorEastAsia" w:hAnsiTheme="minorEastAsia"/>
          <w:sz w:val="28"/>
          <w:szCs w:val="28"/>
        </w:rPr>
        <w:t>陈永华</w:t>
      </w:r>
      <w:r>
        <w:rPr>
          <w:rFonts w:asciiTheme="minorEastAsia" w:hAnsiTheme="minorEastAsia" w:hint="eastAsia"/>
          <w:sz w:val="28"/>
          <w:szCs w:val="28"/>
        </w:rPr>
        <w:t>、</w:t>
      </w:r>
      <w:r w:rsidRPr="007338F9">
        <w:rPr>
          <w:rFonts w:asciiTheme="minorEastAsia" w:hAnsiTheme="minorEastAsia"/>
          <w:sz w:val="28"/>
          <w:szCs w:val="28"/>
        </w:rPr>
        <w:t>陈畅顺</w:t>
      </w:r>
      <w:r>
        <w:rPr>
          <w:rFonts w:asciiTheme="minorEastAsia" w:hAnsiTheme="minorEastAsia" w:hint="eastAsia"/>
          <w:sz w:val="28"/>
          <w:szCs w:val="28"/>
        </w:rPr>
        <w:t>、</w:t>
      </w:r>
      <w:r w:rsidRPr="007338F9">
        <w:rPr>
          <w:rFonts w:asciiTheme="minorEastAsia" w:hAnsiTheme="minorEastAsia"/>
          <w:sz w:val="28"/>
          <w:szCs w:val="28"/>
        </w:rPr>
        <w:t>晁凌锋</w:t>
      </w:r>
      <w:r>
        <w:rPr>
          <w:rFonts w:asciiTheme="minorEastAsia" w:hAnsiTheme="minorEastAsia" w:hint="eastAsia"/>
          <w:sz w:val="28"/>
          <w:szCs w:val="28"/>
        </w:rPr>
        <w:t>、</w:t>
      </w:r>
      <w:r w:rsidRPr="007338F9">
        <w:rPr>
          <w:rFonts w:asciiTheme="minorEastAsia" w:hAnsiTheme="minorEastAsia"/>
          <w:sz w:val="28"/>
          <w:szCs w:val="28"/>
        </w:rPr>
        <w:t>韩虎忱</w:t>
      </w:r>
      <w:r>
        <w:rPr>
          <w:rFonts w:asciiTheme="minorEastAsia" w:hAnsiTheme="minorEastAsia" w:hint="eastAsia"/>
          <w:sz w:val="28"/>
          <w:szCs w:val="28"/>
        </w:rPr>
        <w:t>、</w:t>
      </w:r>
      <w:r w:rsidRPr="007338F9">
        <w:rPr>
          <w:rFonts w:asciiTheme="minorEastAsia" w:hAnsiTheme="minorEastAsia"/>
          <w:sz w:val="28"/>
          <w:szCs w:val="28"/>
        </w:rPr>
        <w:t>陈健鑫</w:t>
      </w:r>
      <w:r>
        <w:rPr>
          <w:rFonts w:asciiTheme="minorEastAsia" w:hAnsiTheme="minorEastAsia" w:hint="eastAsia"/>
          <w:sz w:val="28"/>
          <w:szCs w:val="28"/>
        </w:rPr>
        <w:t>、</w:t>
      </w:r>
      <w:r w:rsidRPr="007338F9">
        <w:rPr>
          <w:rFonts w:asciiTheme="minorEastAsia" w:hAnsiTheme="minorEastAsia"/>
          <w:sz w:val="28"/>
          <w:szCs w:val="28"/>
        </w:rPr>
        <w:t>夏英东</w:t>
      </w:r>
      <w:r>
        <w:rPr>
          <w:rFonts w:asciiTheme="minorEastAsia" w:hAnsiTheme="minorEastAsia" w:hint="eastAsia"/>
          <w:sz w:val="28"/>
          <w:szCs w:val="28"/>
        </w:rPr>
        <w:t>、</w:t>
      </w:r>
    </w:p>
    <w:p w:rsidR="0025423C" w:rsidRDefault="0025423C" w:rsidP="0025423C">
      <w:pPr>
        <w:spacing w:line="560" w:lineRule="exact"/>
        <w:ind w:leftChars="1012" w:left="2125" w:firstLineChars="10" w:firstLine="28"/>
        <w:rPr>
          <w:rFonts w:asciiTheme="minorEastAsia" w:hAnsiTheme="minorEastAsia"/>
          <w:sz w:val="28"/>
          <w:szCs w:val="28"/>
        </w:rPr>
      </w:pPr>
      <w:r w:rsidRPr="007338F9">
        <w:rPr>
          <w:rFonts w:asciiTheme="minorEastAsia" w:hAnsiTheme="minorEastAsia"/>
          <w:sz w:val="28"/>
          <w:szCs w:val="28"/>
        </w:rPr>
        <w:t>黄维</w:t>
      </w:r>
    </w:p>
    <w:p w:rsidR="0025423C" w:rsidRDefault="0025423C" w:rsidP="0025423C">
      <w:pPr>
        <w:spacing w:line="560" w:lineRule="exact"/>
        <w:ind w:firstLineChars="200" w:firstLine="560"/>
        <w:rPr>
          <w:rFonts w:asciiTheme="minorEastAsia" w:hAnsiTheme="minorEastAsia"/>
          <w:sz w:val="28"/>
          <w:szCs w:val="28"/>
        </w:rPr>
      </w:pPr>
      <w:r w:rsidRPr="00887CBD">
        <w:rPr>
          <w:rFonts w:asciiTheme="minorEastAsia" w:hAnsiTheme="minorEastAsia"/>
          <w:sz w:val="28"/>
          <w:szCs w:val="28"/>
        </w:rPr>
        <w:t>首次开发了基于离子液体的丝网印刷钙钛矿光伏的制备技术，实现了全丝网印刷钙钛矿光伏器件的高效制备。针对传统钙钛矿光伏器件制备过程中的工艺复杂、成本高、稳定性差等问题，该团队开发出粘度可控、组分可调、空气稳定的离子液体钙钛矿印刷油墨，通过丝网印刷薄膜的动力学调控和器件结构优化，制备出全丝网印刷钙钛矿光伏器件，实现一台设备解决全部功能层制备。这项研究明晰了离子液体溶剂与钙钛矿印刷油墨的作用关系，解决了丝网印刷用钙钛矿油墨可控制备的关键问题，揭示了油墨特性和印刷参量对钙钛矿晶体演变的影响机制，制备出具有商业化前景的钙钛矿光伏器件。相关的科研成果发表在 Nature、 Science 等国际顶级期，并授权多项国家发明专利。同时，该团队的科研成果受到新华社、中国青年报等国内外主流媒体的多方面报道，展示了丝网印刷钙钛矿光</w:t>
      </w:r>
      <w:proofErr w:type="gramStart"/>
      <w:r w:rsidRPr="00887CBD">
        <w:rPr>
          <w:rFonts w:asciiTheme="minorEastAsia" w:hAnsiTheme="minorEastAsia"/>
          <w:sz w:val="28"/>
          <w:szCs w:val="28"/>
        </w:rPr>
        <w:t>伏技术</w:t>
      </w:r>
      <w:proofErr w:type="gramEnd"/>
      <w:r w:rsidRPr="00887CBD">
        <w:rPr>
          <w:rFonts w:asciiTheme="minorEastAsia" w:hAnsiTheme="minorEastAsia"/>
          <w:sz w:val="28"/>
          <w:szCs w:val="28"/>
        </w:rPr>
        <w:t>的优势与潜力。目前钙钛矿光伏的基础研发阶段工作已接近完成，处于向商业化转变的关键时期。这项研究成果基于一体化、全自动的丝网印刷技术，能够充分挖掘并释放印刷型钙钛矿光伏的产业化优势，实现最低</w:t>
      </w:r>
      <w:r w:rsidRPr="00887CBD">
        <w:rPr>
          <w:rFonts w:asciiTheme="minorEastAsia" w:hAnsiTheme="minorEastAsia"/>
          <w:sz w:val="28"/>
          <w:szCs w:val="28"/>
        </w:rPr>
        <w:lastRenderedPageBreak/>
        <w:t>成本的钙钛矿组件规模化生产。此外，该团队正在积极进行中试量产的工作，相关的研究成果可改变国家的能源发展布局，带动数万亿的应用投资。</w:t>
      </w:r>
    </w:p>
    <w:p w:rsidR="0025423C" w:rsidRPr="00CA2B3A" w:rsidRDefault="0025423C" w:rsidP="0025423C">
      <w:pPr>
        <w:ind w:firstLineChars="200" w:firstLine="480"/>
        <w:rPr>
          <w:rFonts w:asciiTheme="minorEastAsia" w:hAnsiTheme="minorEastAsia"/>
          <w:sz w:val="24"/>
          <w:szCs w:val="28"/>
        </w:rPr>
      </w:pPr>
    </w:p>
    <w:p w:rsidR="0025423C" w:rsidRPr="00887CBD" w:rsidRDefault="0025423C" w:rsidP="0025423C">
      <w:pPr>
        <w:pStyle w:val="a5"/>
        <w:numPr>
          <w:ilvl w:val="0"/>
          <w:numId w:val="1"/>
        </w:numPr>
        <w:spacing w:line="560" w:lineRule="exact"/>
        <w:ind w:firstLineChars="0"/>
        <w:rPr>
          <w:rFonts w:asciiTheme="minorEastAsia" w:hAnsiTheme="minorEastAsia"/>
          <w:b/>
          <w:sz w:val="28"/>
          <w:szCs w:val="28"/>
        </w:rPr>
      </w:pPr>
      <w:r w:rsidRPr="00887CBD">
        <w:rPr>
          <w:rFonts w:asciiTheme="minorEastAsia" w:hAnsiTheme="minorEastAsia" w:hint="eastAsia"/>
          <w:b/>
          <w:sz w:val="28"/>
          <w:szCs w:val="28"/>
        </w:rPr>
        <w:t>复杂介质波动力学理论及高性能算法研究</w:t>
      </w:r>
    </w:p>
    <w:p w:rsidR="0025423C" w:rsidRPr="007338F9" w:rsidRDefault="0025423C" w:rsidP="0025423C">
      <w:pPr>
        <w:spacing w:line="560" w:lineRule="exact"/>
        <w:ind w:firstLine="426"/>
        <w:rPr>
          <w:rFonts w:asciiTheme="minorEastAsia" w:hAnsiTheme="minorEastAsia"/>
          <w:sz w:val="28"/>
          <w:szCs w:val="28"/>
        </w:rPr>
      </w:pPr>
      <w:r w:rsidRPr="007338F9">
        <w:rPr>
          <w:rFonts w:asciiTheme="minorEastAsia" w:hAnsiTheme="minorEastAsia" w:hint="eastAsia"/>
          <w:b/>
          <w:spacing w:val="38"/>
          <w:sz w:val="28"/>
          <w:szCs w:val="28"/>
        </w:rPr>
        <w:t>提名单位：</w:t>
      </w:r>
      <w:r>
        <w:rPr>
          <w:rFonts w:asciiTheme="minorEastAsia" w:hAnsiTheme="minorEastAsia" w:hint="eastAsia"/>
          <w:sz w:val="28"/>
          <w:szCs w:val="28"/>
        </w:rPr>
        <w:t>江苏省力学学会</w:t>
      </w:r>
    </w:p>
    <w:p w:rsidR="0025423C" w:rsidRPr="00887CBD" w:rsidRDefault="0025423C" w:rsidP="0025423C">
      <w:pPr>
        <w:spacing w:line="560" w:lineRule="exact"/>
        <w:ind w:firstLine="426"/>
        <w:rPr>
          <w:rFonts w:asciiTheme="minorEastAsia" w:hAnsiTheme="minorEastAsia"/>
          <w:sz w:val="28"/>
          <w:szCs w:val="28"/>
        </w:rPr>
      </w:pPr>
      <w:r w:rsidRPr="007338F9">
        <w:rPr>
          <w:rFonts w:asciiTheme="minorEastAsia" w:hAnsiTheme="minorEastAsia"/>
          <w:b/>
          <w:spacing w:val="38"/>
          <w:sz w:val="28"/>
          <w:szCs w:val="28"/>
        </w:rPr>
        <w:t>完成单位：</w:t>
      </w:r>
      <w:r w:rsidRPr="00887CBD">
        <w:rPr>
          <w:rFonts w:asciiTheme="minorEastAsia" w:hAnsiTheme="minorEastAsia" w:hint="eastAsia"/>
          <w:sz w:val="28"/>
          <w:szCs w:val="28"/>
        </w:rPr>
        <w:t>河海大学</w:t>
      </w:r>
    </w:p>
    <w:p w:rsidR="0025423C" w:rsidRPr="00887CBD" w:rsidRDefault="0025423C" w:rsidP="0025423C">
      <w:pPr>
        <w:spacing w:line="560" w:lineRule="exact"/>
        <w:ind w:firstLine="426"/>
        <w:rPr>
          <w:rFonts w:asciiTheme="minorEastAsia" w:hAnsiTheme="minorEastAsia"/>
          <w:sz w:val="28"/>
          <w:szCs w:val="28"/>
        </w:rPr>
      </w:pPr>
      <w:r w:rsidRPr="007338F9">
        <w:rPr>
          <w:rFonts w:asciiTheme="minorEastAsia" w:hAnsiTheme="minorEastAsia"/>
          <w:b/>
          <w:sz w:val="28"/>
          <w:szCs w:val="28"/>
        </w:rPr>
        <w:t>主要完成人：</w:t>
      </w:r>
      <w:r>
        <w:rPr>
          <w:rFonts w:asciiTheme="minorEastAsia" w:hAnsiTheme="minorEastAsia" w:hint="eastAsia"/>
          <w:b/>
          <w:sz w:val="28"/>
          <w:szCs w:val="28"/>
        </w:rPr>
        <w:t xml:space="preserve"> </w:t>
      </w:r>
      <w:proofErr w:type="gramStart"/>
      <w:r w:rsidRPr="00887CBD">
        <w:rPr>
          <w:rFonts w:asciiTheme="minorEastAsia" w:hAnsiTheme="minorEastAsia" w:hint="eastAsia"/>
          <w:sz w:val="28"/>
          <w:szCs w:val="28"/>
        </w:rPr>
        <w:t>傅卓佳</w:t>
      </w:r>
      <w:proofErr w:type="gramEnd"/>
      <w:r w:rsidRPr="00887CBD">
        <w:rPr>
          <w:rFonts w:asciiTheme="minorEastAsia" w:hAnsiTheme="minorEastAsia" w:hint="eastAsia"/>
          <w:sz w:val="28"/>
          <w:szCs w:val="28"/>
        </w:rPr>
        <w:t>、习强、陈林、田霞</w:t>
      </w:r>
    </w:p>
    <w:p w:rsidR="0025423C" w:rsidRDefault="0025423C" w:rsidP="0025423C">
      <w:pPr>
        <w:spacing w:line="560" w:lineRule="exact"/>
        <w:ind w:firstLineChars="200" w:firstLine="560"/>
        <w:rPr>
          <w:rFonts w:asciiTheme="minorEastAsia" w:hAnsiTheme="minorEastAsia"/>
          <w:sz w:val="28"/>
          <w:szCs w:val="28"/>
        </w:rPr>
      </w:pPr>
      <w:r w:rsidRPr="00887CBD">
        <w:rPr>
          <w:rFonts w:asciiTheme="minorEastAsia" w:hAnsiTheme="minorEastAsia"/>
          <w:sz w:val="28"/>
          <w:szCs w:val="28"/>
        </w:rPr>
        <w:t xml:space="preserve">复杂介质波动力学研究对材料定量无损检测、雷达、水下声纳以及工程结构抗震等许多工程技术的应用和发展具有重要意义。现有传统数值方法计算此类问题时常遇到计算复杂度随波数增加呈指数增长、奇异与近奇异积分计算复杂和病态稠密矩阵计算不稳定等瓶颈。针对这些计算瓶颈，建立了一套新型半解析配点理论体系，将计算结果达到工程精度时每个维度方向上一个波长内所需布置的节点/单元数由传统数值方法的 10 </w:t>
      </w:r>
      <w:proofErr w:type="gramStart"/>
      <w:r w:rsidRPr="00887CBD">
        <w:rPr>
          <w:rFonts w:asciiTheme="minorEastAsia" w:hAnsiTheme="minorEastAsia"/>
          <w:sz w:val="28"/>
          <w:szCs w:val="28"/>
        </w:rPr>
        <w:t>个</w:t>
      </w:r>
      <w:proofErr w:type="gramEnd"/>
      <w:r w:rsidRPr="00887CBD">
        <w:rPr>
          <w:rFonts w:asciiTheme="minorEastAsia" w:hAnsiTheme="minorEastAsia"/>
          <w:sz w:val="28"/>
          <w:szCs w:val="28"/>
        </w:rPr>
        <w:t xml:space="preserve">降低至 3-5个；并基于开源国产工业软件集成开发平台形成相应的计算力学方法软件，为各类复杂介质波动力学行为的精细化定量分析提供了统一、高效与精确的手段，进而探明声波在垂向分层海洋环境中的传播规律。在计算理论原始创新上做出了具有实质性进展的成功尝试，得到多位中外院士及期刊主编等国内外学者的高度评价，并已有近 10 </w:t>
      </w:r>
      <w:proofErr w:type="gramStart"/>
      <w:r w:rsidRPr="00887CBD">
        <w:rPr>
          <w:rFonts w:asciiTheme="minorEastAsia" w:hAnsiTheme="minorEastAsia"/>
          <w:sz w:val="28"/>
          <w:szCs w:val="28"/>
        </w:rPr>
        <w:t>个</w:t>
      </w:r>
      <w:proofErr w:type="gramEnd"/>
      <w:r w:rsidRPr="00887CBD">
        <w:rPr>
          <w:rFonts w:asciiTheme="minorEastAsia" w:hAnsiTheme="minorEastAsia"/>
          <w:sz w:val="28"/>
          <w:szCs w:val="28"/>
        </w:rPr>
        <w:t xml:space="preserve">国家和地区的 30 </w:t>
      </w:r>
      <w:proofErr w:type="gramStart"/>
      <w:r w:rsidRPr="00887CBD">
        <w:rPr>
          <w:rFonts w:asciiTheme="minorEastAsia" w:hAnsiTheme="minorEastAsia"/>
          <w:sz w:val="28"/>
          <w:szCs w:val="28"/>
        </w:rPr>
        <w:t>余位研究</w:t>
      </w:r>
      <w:proofErr w:type="gramEnd"/>
      <w:r w:rsidRPr="00887CBD">
        <w:rPr>
          <w:rFonts w:asciiTheme="minorEastAsia" w:hAnsiTheme="minorEastAsia"/>
          <w:sz w:val="28"/>
          <w:szCs w:val="28"/>
        </w:rPr>
        <w:t>学者正在开展我们所提算法的理论与应用研究。 2022 年发表相关学术论文 8篇，包括邀稿综述论文 3 篇，授权发明专利 3 项，软件著作权 2 项，获得首届工程计算软件优秀青年奖，主持国家自然科学基金</w:t>
      </w:r>
      <w:proofErr w:type="gramStart"/>
      <w:r w:rsidRPr="00887CBD">
        <w:rPr>
          <w:rFonts w:asciiTheme="minorEastAsia" w:hAnsiTheme="minorEastAsia"/>
          <w:sz w:val="28"/>
          <w:szCs w:val="28"/>
        </w:rPr>
        <w:t>优青项目</w:t>
      </w:r>
      <w:proofErr w:type="gramEnd"/>
      <w:r w:rsidRPr="00887CBD">
        <w:rPr>
          <w:rFonts w:asciiTheme="minorEastAsia" w:hAnsiTheme="minorEastAsia"/>
          <w:sz w:val="28"/>
          <w:szCs w:val="28"/>
        </w:rPr>
        <w:t xml:space="preserve"> 1 项和船舶总体性能创新研究开放基金项目 1 项</w:t>
      </w:r>
      <w:r>
        <w:rPr>
          <w:rFonts w:asciiTheme="minorEastAsia" w:hAnsiTheme="minorEastAsia"/>
          <w:sz w:val="28"/>
          <w:szCs w:val="28"/>
        </w:rPr>
        <w:t>。</w:t>
      </w:r>
    </w:p>
    <w:p w:rsidR="0025423C" w:rsidRDefault="0025423C" w:rsidP="0025423C">
      <w:pPr>
        <w:ind w:firstLineChars="200" w:firstLine="480"/>
        <w:rPr>
          <w:rFonts w:asciiTheme="minorEastAsia" w:hAnsiTheme="minorEastAsia" w:hint="eastAsia"/>
          <w:sz w:val="24"/>
          <w:szCs w:val="28"/>
        </w:rPr>
      </w:pPr>
    </w:p>
    <w:p w:rsidR="0025423C" w:rsidRDefault="0025423C" w:rsidP="0025423C">
      <w:pPr>
        <w:ind w:firstLineChars="200" w:firstLine="480"/>
        <w:rPr>
          <w:rFonts w:asciiTheme="minorEastAsia" w:hAnsiTheme="minorEastAsia" w:hint="eastAsia"/>
          <w:sz w:val="24"/>
          <w:szCs w:val="28"/>
        </w:rPr>
      </w:pPr>
    </w:p>
    <w:p w:rsidR="0025423C" w:rsidRDefault="0025423C" w:rsidP="0025423C">
      <w:pPr>
        <w:ind w:firstLineChars="200" w:firstLine="480"/>
        <w:rPr>
          <w:rFonts w:asciiTheme="minorEastAsia" w:hAnsiTheme="minorEastAsia" w:hint="eastAsia"/>
          <w:sz w:val="24"/>
          <w:szCs w:val="28"/>
        </w:rPr>
      </w:pPr>
    </w:p>
    <w:p w:rsidR="0025423C" w:rsidRDefault="0025423C" w:rsidP="0025423C">
      <w:pPr>
        <w:ind w:firstLineChars="200" w:firstLine="480"/>
        <w:rPr>
          <w:rFonts w:asciiTheme="minorEastAsia" w:hAnsiTheme="minorEastAsia" w:hint="eastAsia"/>
          <w:sz w:val="24"/>
          <w:szCs w:val="28"/>
        </w:rPr>
      </w:pPr>
    </w:p>
    <w:p w:rsidR="0025423C" w:rsidRPr="00CA2B3A" w:rsidRDefault="0025423C" w:rsidP="0025423C">
      <w:pPr>
        <w:ind w:firstLineChars="200" w:firstLine="480"/>
        <w:rPr>
          <w:rFonts w:asciiTheme="minorEastAsia" w:hAnsiTheme="minorEastAsia"/>
          <w:sz w:val="24"/>
          <w:szCs w:val="28"/>
        </w:rPr>
      </w:pPr>
    </w:p>
    <w:p w:rsidR="0025423C" w:rsidRPr="00887CBD" w:rsidRDefault="0025423C" w:rsidP="0025423C">
      <w:pPr>
        <w:pStyle w:val="a5"/>
        <w:numPr>
          <w:ilvl w:val="0"/>
          <w:numId w:val="1"/>
        </w:numPr>
        <w:spacing w:line="560" w:lineRule="exact"/>
        <w:ind w:firstLineChars="0"/>
        <w:rPr>
          <w:rFonts w:asciiTheme="minorEastAsia" w:hAnsiTheme="minorEastAsia"/>
          <w:b/>
          <w:sz w:val="28"/>
          <w:szCs w:val="28"/>
        </w:rPr>
      </w:pPr>
      <w:r w:rsidRPr="00887CBD">
        <w:rPr>
          <w:rFonts w:asciiTheme="minorEastAsia" w:hAnsiTheme="minorEastAsia" w:hint="eastAsia"/>
          <w:b/>
          <w:sz w:val="28"/>
          <w:szCs w:val="28"/>
        </w:rPr>
        <w:lastRenderedPageBreak/>
        <w:t>小鼠跨</w:t>
      </w:r>
      <w:proofErr w:type="gramStart"/>
      <w:r w:rsidRPr="00887CBD">
        <w:rPr>
          <w:rFonts w:asciiTheme="minorEastAsia" w:hAnsiTheme="minorEastAsia" w:hint="eastAsia"/>
          <w:b/>
          <w:sz w:val="28"/>
          <w:szCs w:val="28"/>
        </w:rPr>
        <w:t>模态全</w:t>
      </w:r>
      <w:proofErr w:type="gramEnd"/>
      <w:r w:rsidRPr="00887CBD">
        <w:rPr>
          <w:rFonts w:asciiTheme="minorEastAsia" w:hAnsiTheme="minorEastAsia" w:hint="eastAsia"/>
          <w:b/>
          <w:sz w:val="28"/>
          <w:szCs w:val="28"/>
        </w:rPr>
        <w:t>脑一致性配准方法研究</w:t>
      </w:r>
    </w:p>
    <w:p w:rsidR="0025423C" w:rsidRPr="00887CBD" w:rsidRDefault="0025423C" w:rsidP="0025423C">
      <w:pPr>
        <w:spacing w:line="560" w:lineRule="exact"/>
        <w:ind w:firstLine="350"/>
        <w:rPr>
          <w:rFonts w:asciiTheme="minorEastAsia" w:hAnsiTheme="minorEastAsia"/>
          <w:b/>
          <w:spacing w:val="38"/>
          <w:sz w:val="28"/>
          <w:szCs w:val="28"/>
        </w:rPr>
      </w:pPr>
      <w:r w:rsidRPr="007338F9">
        <w:rPr>
          <w:rFonts w:asciiTheme="minorEastAsia" w:hAnsiTheme="minorEastAsia" w:hint="eastAsia"/>
          <w:b/>
          <w:spacing w:val="38"/>
          <w:sz w:val="28"/>
          <w:szCs w:val="28"/>
        </w:rPr>
        <w:t>提名单位：</w:t>
      </w:r>
      <w:r w:rsidRPr="00E568F7">
        <w:rPr>
          <w:rFonts w:asciiTheme="minorEastAsia" w:hAnsiTheme="minorEastAsia"/>
          <w:sz w:val="28"/>
          <w:szCs w:val="28"/>
        </w:rPr>
        <w:t>东南大学科学技术协会</w:t>
      </w:r>
    </w:p>
    <w:p w:rsidR="0025423C" w:rsidRPr="007338F9" w:rsidRDefault="0025423C" w:rsidP="0025423C">
      <w:pPr>
        <w:spacing w:line="560" w:lineRule="exact"/>
        <w:ind w:firstLine="350"/>
        <w:rPr>
          <w:rFonts w:asciiTheme="minorEastAsia" w:hAnsiTheme="minorEastAsia" w:cs="Times New Roman"/>
          <w:kern w:val="0"/>
          <w:sz w:val="28"/>
          <w:szCs w:val="28"/>
        </w:rPr>
      </w:pPr>
      <w:r w:rsidRPr="007338F9">
        <w:rPr>
          <w:rFonts w:asciiTheme="minorEastAsia" w:hAnsiTheme="minorEastAsia"/>
          <w:b/>
          <w:spacing w:val="38"/>
          <w:sz w:val="28"/>
          <w:szCs w:val="28"/>
        </w:rPr>
        <w:t>完成单位：</w:t>
      </w:r>
      <w:r w:rsidRPr="00E568F7">
        <w:rPr>
          <w:rFonts w:asciiTheme="minorEastAsia" w:hAnsiTheme="minorEastAsia" w:hint="eastAsia"/>
          <w:sz w:val="28"/>
          <w:szCs w:val="28"/>
        </w:rPr>
        <w:t>东南大学、安徽大学、上海大学</w:t>
      </w:r>
    </w:p>
    <w:p w:rsidR="0025423C" w:rsidRDefault="0025423C" w:rsidP="0025423C">
      <w:pPr>
        <w:spacing w:line="560" w:lineRule="exact"/>
        <w:ind w:firstLine="350"/>
        <w:rPr>
          <w:rFonts w:asciiTheme="minorEastAsia" w:hAnsiTheme="minorEastAsia"/>
          <w:sz w:val="28"/>
          <w:szCs w:val="28"/>
        </w:rPr>
      </w:pPr>
      <w:r w:rsidRPr="007338F9">
        <w:rPr>
          <w:rFonts w:asciiTheme="minorEastAsia" w:hAnsiTheme="minorEastAsia"/>
          <w:b/>
          <w:sz w:val="28"/>
          <w:szCs w:val="28"/>
        </w:rPr>
        <w:t>主要完成人：</w:t>
      </w:r>
      <w:r>
        <w:rPr>
          <w:rFonts w:asciiTheme="minorEastAsia" w:hAnsiTheme="minorEastAsia" w:hint="eastAsia"/>
          <w:b/>
          <w:sz w:val="28"/>
          <w:szCs w:val="28"/>
        </w:rPr>
        <w:t xml:space="preserve"> </w:t>
      </w:r>
      <w:r w:rsidRPr="00E568F7">
        <w:rPr>
          <w:rFonts w:asciiTheme="minorEastAsia" w:hAnsiTheme="minorEastAsia" w:hint="eastAsia"/>
          <w:sz w:val="28"/>
          <w:szCs w:val="28"/>
        </w:rPr>
        <w:t>彭汉川、屈磊、刘力娟、李园园、熊峰、</w:t>
      </w:r>
      <w:proofErr w:type="gramStart"/>
      <w:r w:rsidRPr="00E568F7">
        <w:rPr>
          <w:rFonts w:asciiTheme="minorEastAsia" w:hAnsiTheme="minorEastAsia" w:hint="eastAsia"/>
          <w:sz w:val="28"/>
          <w:szCs w:val="28"/>
        </w:rPr>
        <w:t>王宜敏</w:t>
      </w:r>
      <w:proofErr w:type="gramEnd"/>
    </w:p>
    <w:p w:rsidR="0025423C" w:rsidRPr="00E568F7" w:rsidRDefault="0025423C" w:rsidP="0025423C">
      <w:pPr>
        <w:spacing w:line="560" w:lineRule="exact"/>
        <w:ind w:firstLineChars="200" w:firstLine="560"/>
        <w:rPr>
          <w:rFonts w:asciiTheme="minorEastAsia" w:hAnsiTheme="minorEastAsia"/>
          <w:sz w:val="28"/>
          <w:szCs w:val="28"/>
        </w:rPr>
      </w:pPr>
      <w:r w:rsidRPr="00E568F7">
        <w:rPr>
          <w:rFonts w:asciiTheme="minorEastAsia" w:hAnsiTheme="minorEastAsia"/>
          <w:sz w:val="28"/>
          <w:szCs w:val="28"/>
        </w:rPr>
        <w:t>针对跨模态神经数据空间标准化这一难点问题，提出了新方案，实现了跨模态图像精确配准。引入了基于深度脑区分割模型，通过成对脑区之间的匹配约束，大幅提高了跨模态配准精度。构建了首个专用模态的小鼠脑图谱，大幅提升了常用图像配准精度（提升了37.5%）。</w:t>
      </w:r>
      <w:r w:rsidRPr="00E568F7">
        <w:rPr>
          <w:rFonts w:asciiTheme="minorEastAsia" w:hAnsiTheme="minorEastAsia" w:hint="eastAsia"/>
          <w:sz w:val="28"/>
          <w:szCs w:val="28"/>
        </w:rPr>
        <w:t>为</w:t>
      </w:r>
      <w:r w:rsidRPr="00E568F7">
        <w:rPr>
          <w:rFonts w:asciiTheme="minorEastAsia" w:hAnsiTheme="minorEastAsia"/>
          <w:sz w:val="28"/>
          <w:szCs w:val="28"/>
        </w:rPr>
        <w:t>单神经元重建（Nature， 2021），大规模自动重建（Nature Methods, 2023）和人脑神经元重建（Science Advances，2023）提供了基础。支持多种主流成像模态的配准，使得不同数据来源的数据可以在同一个坐标空间下比较。实现了单细胞分辨率下的丘脑</w:t>
      </w:r>
      <w:proofErr w:type="gramStart"/>
      <w:r w:rsidRPr="00E568F7">
        <w:rPr>
          <w:rFonts w:asciiTheme="minorEastAsia" w:hAnsiTheme="minorEastAsia"/>
          <w:sz w:val="28"/>
          <w:szCs w:val="28"/>
        </w:rPr>
        <w:t>神经元</w:t>
      </w:r>
      <w:proofErr w:type="gramEnd"/>
      <w:r w:rsidRPr="00E568F7">
        <w:rPr>
          <w:rFonts w:asciiTheme="minorEastAsia" w:hAnsiTheme="minorEastAsia"/>
          <w:sz w:val="28"/>
          <w:szCs w:val="28"/>
        </w:rPr>
        <w:t>投射的拓扑分析，对理解丘脑-皮层神经环路具有重大影响。广泛应用于包括中国、美国和欧洲在内的多国</w:t>
      </w:r>
      <w:proofErr w:type="gramStart"/>
      <w:r w:rsidRPr="00E568F7">
        <w:rPr>
          <w:rFonts w:asciiTheme="minorEastAsia" w:hAnsiTheme="minorEastAsia"/>
          <w:sz w:val="28"/>
          <w:szCs w:val="28"/>
        </w:rPr>
        <w:t>脑计划</w:t>
      </w:r>
      <w:proofErr w:type="gramEnd"/>
      <w:r w:rsidRPr="00E568F7">
        <w:rPr>
          <w:rFonts w:asciiTheme="minorEastAsia" w:hAnsiTheme="minorEastAsia"/>
          <w:sz w:val="28"/>
          <w:szCs w:val="28"/>
        </w:rPr>
        <w:t>项目，以及哈佛大学、美国冷泉港实验室和美国艾伦研究中心等相关研究项目，具有非常高的科技贡献率。</w:t>
      </w:r>
    </w:p>
    <w:p w:rsidR="0025423C" w:rsidRPr="00CA2B3A" w:rsidRDefault="0025423C" w:rsidP="0025423C">
      <w:pPr>
        <w:ind w:firstLineChars="200" w:firstLine="480"/>
        <w:rPr>
          <w:rFonts w:asciiTheme="minorEastAsia" w:hAnsiTheme="minorEastAsia"/>
          <w:sz w:val="24"/>
          <w:szCs w:val="28"/>
        </w:rPr>
      </w:pPr>
    </w:p>
    <w:p w:rsidR="0025423C" w:rsidRPr="00E568F7" w:rsidRDefault="0025423C" w:rsidP="0025423C">
      <w:pPr>
        <w:pStyle w:val="a5"/>
        <w:numPr>
          <w:ilvl w:val="0"/>
          <w:numId w:val="1"/>
        </w:numPr>
        <w:spacing w:line="560" w:lineRule="exact"/>
        <w:ind w:firstLineChars="0"/>
        <w:rPr>
          <w:rFonts w:asciiTheme="minorEastAsia" w:hAnsiTheme="minorEastAsia"/>
          <w:b/>
          <w:sz w:val="28"/>
          <w:szCs w:val="28"/>
        </w:rPr>
      </w:pPr>
      <w:r w:rsidRPr="00E568F7">
        <w:rPr>
          <w:rFonts w:asciiTheme="minorEastAsia" w:hAnsiTheme="minorEastAsia" w:hint="eastAsia"/>
          <w:b/>
          <w:sz w:val="28"/>
          <w:szCs w:val="28"/>
        </w:rPr>
        <w:t>“羲和号”实现高精度太阳Hα光谱成像空间探测</w:t>
      </w:r>
    </w:p>
    <w:p w:rsidR="0025423C" w:rsidRPr="007338F9" w:rsidRDefault="0025423C" w:rsidP="0025423C">
      <w:pPr>
        <w:spacing w:line="560" w:lineRule="exact"/>
        <w:ind w:firstLine="448"/>
        <w:rPr>
          <w:rFonts w:asciiTheme="minorEastAsia" w:hAnsiTheme="minorEastAsia"/>
          <w:sz w:val="28"/>
          <w:szCs w:val="28"/>
        </w:rPr>
      </w:pPr>
      <w:r w:rsidRPr="007338F9">
        <w:rPr>
          <w:rFonts w:asciiTheme="minorEastAsia" w:hAnsiTheme="minorEastAsia" w:hint="eastAsia"/>
          <w:b/>
          <w:spacing w:val="38"/>
          <w:sz w:val="28"/>
          <w:szCs w:val="28"/>
        </w:rPr>
        <w:t>提名单位：</w:t>
      </w:r>
      <w:r>
        <w:rPr>
          <w:rFonts w:asciiTheme="minorEastAsia" w:hAnsiTheme="minorEastAsia"/>
          <w:sz w:val="28"/>
          <w:szCs w:val="28"/>
        </w:rPr>
        <w:t>江苏省天文学会</w:t>
      </w:r>
    </w:p>
    <w:p w:rsidR="0025423C" w:rsidRPr="00E568F7" w:rsidRDefault="0025423C" w:rsidP="0025423C">
      <w:pPr>
        <w:spacing w:line="560" w:lineRule="exact"/>
        <w:ind w:firstLine="448"/>
        <w:rPr>
          <w:rFonts w:asciiTheme="minorEastAsia" w:hAnsiTheme="minorEastAsia"/>
          <w:sz w:val="28"/>
          <w:szCs w:val="28"/>
        </w:rPr>
      </w:pPr>
      <w:r w:rsidRPr="007338F9">
        <w:rPr>
          <w:rFonts w:asciiTheme="minorEastAsia" w:hAnsiTheme="minorEastAsia"/>
          <w:b/>
          <w:spacing w:val="38"/>
          <w:sz w:val="28"/>
          <w:szCs w:val="28"/>
        </w:rPr>
        <w:t>完成单位：</w:t>
      </w:r>
      <w:r w:rsidRPr="00E568F7">
        <w:rPr>
          <w:rFonts w:asciiTheme="minorEastAsia" w:hAnsiTheme="minorEastAsia" w:hint="eastAsia"/>
          <w:sz w:val="28"/>
          <w:szCs w:val="28"/>
        </w:rPr>
        <w:t>南京大学、中国航天科技集团有限公司第八研究院、</w:t>
      </w:r>
    </w:p>
    <w:p w:rsidR="0025423C" w:rsidRPr="007338F9" w:rsidRDefault="0025423C" w:rsidP="0025423C">
      <w:pPr>
        <w:spacing w:line="560" w:lineRule="exact"/>
        <w:ind w:leftChars="853" w:left="1791" w:firstLine="448"/>
        <w:rPr>
          <w:rFonts w:asciiTheme="minorEastAsia" w:hAnsiTheme="minorEastAsia" w:cs="Times New Roman"/>
          <w:kern w:val="0"/>
          <w:sz w:val="28"/>
          <w:szCs w:val="28"/>
        </w:rPr>
      </w:pPr>
      <w:r w:rsidRPr="00E568F7">
        <w:rPr>
          <w:rFonts w:asciiTheme="minorEastAsia" w:hAnsiTheme="minorEastAsia" w:hint="eastAsia"/>
          <w:sz w:val="28"/>
          <w:szCs w:val="28"/>
        </w:rPr>
        <w:t>中国科学院长春光学精密机械与物理研究所</w:t>
      </w:r>
    </w:p>
    <w:p w:rsidR="0025423C" w:rsidRDefault="0025423C" w:rsidP="0025423C">
      <w:pPr>
        <w:spacing w:line="560" w:lineRule="exact"/>
        <w:ind w:firstLine="448"/>
        <w:rPr>
          <w:rFonts w:asciiTheme="minorEastAsia" w:hAnsiTheme="minorEastAsia"/>
          <w:sz w:val="28"/>
          <w:szCs w:val="28"/>
        </w:rPr>
      </w:pPr>
      <w:r w:rsidRPr="007338F9">
        <w:rPr>
          <w:rFonts w:asciiTheme="minorEastAsia" w:hAnsiTheme="minorEastAsia"/>
          <w:b/>
          <w:sz w:val="28"/>
          <w:szCs w:val="28"/>
        </w:rPr>
        <w:t>主要完成人：</w:t>
      </w:r>
      <w:r w:rsidRPr="00E568F7">
        <w:rPr>
          <w:rFonts w:asciiTheme="minorEastAsia" w:hAnsiTheme="minorEastAsia" w:hint="eastAsia"/>
          <w:sz w:val="28"/>
          <w:szCs w:val="28"/>
        </w:rPr>
        <w:t>李川</w:t>
      </w:r>
      <w:r>
        <w:rPr>
          <w:rFonts w:asciiTheme="minorEastAsia" w:hAnsiTheme="minorEastAsia" w:hint="eastAsia"/>
          <w:sz w:val="28"/>
          <w:szCs w:val="28"/>
        </w:rPr>
        <w:t>、</w:t>
      </w:r>
      <w:r w:rsidRPr="00E568F7">
        <w:rPr>
          <w:rFonts w:asciiTheme="minorEastAsia" w:hAnsiTheme="minorEastAsia" w:hint="eastAsia"/>
          <w:sz w:val="28"/>
          <w:szCs w:val="28"/>
        </w:rPr>
        <w:t>李臻</w:t>
      </w:r>
      <w:r>
        <w:rPr>
          <w:rFonts w:asciiTheme="minorEastAsia" w:hAnsiTheme="minorEastAsia" w:hint="eastAsia"/>
          <w:sz w:val="28"/>
          <w:szCs w:val="28"/>
        </w:rPr>
        <w:t>、</w:t>
      </w:r>
      <w:r w:rsidRPr="00E568F7">
        <w:rPr>
          <w:rFonts w:asciiTheme="minorEastAsia" w:hAnsiTheme="minorEastAsia" w:hint="eastAsia"/>
          <w:sz w:val="28"/>
          <w:szCs w:val="28"/>
        </w:rPr>
        <w:t>丁明德</w:t>
      </w:r>
      <w:r>
        <w:rPr>
          <w:rFonts w:asciiTheme="minorEastAsia" w:hAnsiTheme="minorEastAsia" w:hint="eastAsia"/>
          <w:sz w:val="28"/>
          <w:szCs w:val="28"/>
        </w:rPr>
        <w:t>、</w:t>
      </w:r>
      <w:r w:rsidRPr="00E568F7">
        <w:rPr>
          <w:rFonts w:asciiTheme="minorEastAsia" w:hAnsiTheme="minorEastAsia" w:hint="eastAsia"/>
          <w:sz w:val="28"/>
          <w:szCs w:val="28"/>
        </w:rPr>
        <w:t xml:space="preserve">方成 </w:t>
      </w:r>
      <w:r>
        <w:rPr>
          <w:rFonts w:asciiTheme="minorEastAsia" w:hAnsiTheme="minorEastAsia" w:hint="eastAsia"/>
          <w:sz w:val="28"/>
          <w:szCs w:val="28"/>
        </w:rPr>
        <w:t>、</w:t>
      </w:r>
      <w:r w:rsidRPr="00E568F7">
        <w:rPr>
          <w:rFonts w:asciiTheme="minorEastAsia" w:hAnsiTheme="minorEastAsia" w:hint="eastAsia"/>
          <w:sz w:val="28"/>
          <w:szCs w:val="28"/>
        </w:rPr>
        <w:t>尤伟、袁渊</w:t>
      </w:r>
      <w:r>
        <w:rPr>
          <w:rFonts w:asciiTheme="minorEastAsia" w:hAnsiTheme="minorEastAsia" w:hint="eastAsia"/>
          <w:sz w:val="28"/>
          <w:szCs w:val="28"/>
        </w:rPr>
        <w:t>、</w:t>
      </w:r>
      <w:r w:rsidRPr="00E568F7">
        <w:rPr>
          <w:rFonts w:asciiTheme="minorEastAsia" w:hAnsiTheme="minorEastAsia" w:hint="eastAsia"/>
          <w:sz w:val="28"/>
          <w:szCs w:val="28"/>
        </w:rPr>
        <w:t>刘强</w:t>
      </w:r>
    </w:p>
    <w:p w:rsidR="0025423C" w:rsidRDefault="0025423C" w:rsidP="0025423C">
      <w:pPr>
        <w:spacing w:line="560" w:lineRule="exact"/>
        <w:ind w:firstLineChars="200" w:firstLine="560"/>
        <w:rPr>
          <w:rFonts w:asciiTheme="minorEastAsia" w:hAnsiTheme="minorEastAsia"/>
          <w:sz w:val="28"/>
          <w:szCs w:val="28"/>
        </w:rPr>
      </w:pPr>
      <w:r w:rsidRPr="00FE6FC7">
        <w:rPr>
          <w:rFonts w:asciiTheme="minorEastAsia" w:hAnsiTheme="minorEastAsia"/>
          <w:sz w:val="28"/>
          <w:szCs w:val="28"/>
        </w:rPr>
        <w:t>我国</w:t>
      </w:r>
      <w:proofErr w:type="gramStart"/>
      <w:r w:rsidRPr="00FE6FC7">
        <w:rPr>
          <w:rFonts w:asciiTheme="minorEastAsia" w:hAnsiTheme="minorEastAsia"/>
          <w:sz w:val="28"/>
          <w:szCs w:val="28"/>
        </w:rPr>
        <w:t>首颗探日卫星</w:t>
      </w:r>
      <w:proofErr w:type="gramEnd"/>
      <w:r w:rsidRPr="00FE6FC7">
        <w:rPr>
          <w:rFonts w:asciiTheme="minorEastAsia" w:hAnsiTheme="minorEastAsia"/>
          <w:sz w:val="28"/>
          <w:szCs w:val="28"/>
        </w:rPr>
        <w:t xml:space="preserve">“羲和号”实现了国际首次太阳 Hα波段光谱成像的空间观测，数据质量达到国际最佳水平，可以在 46 </w:t>
      </w:r>
      <w:proofErr w:type="gramStart"/>
      <w:r w:rsidRPr="00FE6FC7">
        <w:rPr>
          <w:rFonts w:asciiTheme="minorEastAsia" w:hAnsiTheme="minorEastAsia"/>
          <w:sz w:val="28"/>
          <w:szCs w:val="28"/>
        </w:rPr>
        <w:t>秒完成扫描全</w:t>
      </w:r>
      <w:proofErr w:type="gramEnd"/>
      <w:r w:rsidRPr="00FE6FC7">
        <w:rPr>
          <w:rFonts w:asciiTheme="minorEastAsia" w:hAnsiTheme="minorEastAsia"/>
          <w:sz w:val="28"/>
          <w:szCs w:val="28"/>
        </w:rPr>
        <w:t>日面，像元光谱分辨率达到 0.0024 纳米，空间分辨率达到1.2角秒。2022年8月“羲和号” 发布首批成果，创下5个国际首次。“羲和号”成功</w:t>
      </w:r>
      <w:r w:rsidRPr="00FE6FC7">
        <w:rPr>
          <w:rFonts w:asciiTheme="minorEastAsia" w:hAnsiTheme="minorEastAsia"/>
          <w:sz w:val="28"/>
          <w:szCs w:val="28"/>
        </w:rPr>
        <w:lastRenderedPageBreak/>
        <w:t>研发和在</w:t>
      </w:r>
      <w:proofErr w:type="gramStart"/>
      <w:r w:rsidRPr="00FE6FC7">
        <w:rPr>
          <w:rFonts w:asciiTheme="minorEastAsia" w:hAnsiTheme="minorEastAsia"/>
          <w:sz w:val="28"/>
          <w:szCs w:val="28"/>
        </w:rPr>
        <w:t>轨应用</w:t>
      </w:r>
      <w:proofErr w:type="gramEnd"/>
      <w:r w:rsidRPr="00FE6FC7">
        <w:rPr>
          <w:rFonts w:asciiTheme="minorEastAsia" w:hAnsiTheme="minorEastAsia"/>
          <w:sz w:val="28"/>
          <w:szCs w:val="28"/>
        </w:rPr>
        <w:t>打破了我国没有第一手太阳空间探测数据，严重依赖国外卫星的被动局面，</w:t>
      </w:r>
      <w:proofErr w:type="gramStart"/>
      <w:r w:rsidRPr="00FE6FC7">
        <w:rPr>
          <w:rFonts w:asciiTheme="minorEastAsia" w:hAnsiTheme="minorEastAsia"/>
          <w:sz w:val="28"/>
          <w:szCs w:val="28"/>
        </w:rPr>
        <w:t>是习近</w:t>
      </w:r>
      <w:proofErr w:type="gramEnd"/>
      <w:r w:rsidRPr="00FE6FC7">
        <w:rPr>
          <w:rFonts w:asciiTheme="minorEastAsia" w:hAnsiTheme="minorEastAsia"/>
          <w:sz w:val="28"/>
          <w:szCs w:val="28"/>
        </w:rPr>
        <w:t>平总书记提出的“四个面向”中“面向世界科技前沿，面向国家重大需求”的具体实践，对探索空间科学前沿、推进航天强国建设意义深远</w:t>
      </w:r>
      <w:r>
        <w:rPr>
          <w:rFonts w:asciiTheme="minorEastAsia" w:hAnsiTheme="minorEastAsia"/>
          <w:sz w:val="28"/>
          <w:szCs w:val="28"/>
        </w:rPr>
        <w:t>。</w:t>
      </w:r>
    </w:p>
    <w:p w:rsidR="0025423C" w:rsidRPr="00CA2B3A" w:rsidRDefault="0025423C" w:rsidP="0025423C">
      <w:pPr>
        <w:ind w:firstLineChars="200" w:firstLine="480"/>
        <w:rPr>
          <w:rFonts w:asciiTheme="minorEastAsia" w:hAnsiTheme="minorEastAsia"/>
          <w:sz w:val="24"/>
          <w:szCs w:val="28"/>
        </w:rPr>
      </w:pPr>
    </w:p>
    <w:p w:rsidR="0025423C" w:rsidRPr="0025423C" w:rsidRDefault="0025423C" w:rsidP="0025423C">
      <w:pPr>
        <w:pStyle w:val="a5"/>
        <w:numPr>
          <w:ilvl w:val="0"/>
          <w:numId w:val="1"/>
        </w:numPr>
        <w:spacing w:line="560" w:lineRule="exact"/>
        <w:ind w:firstLineChars="0"/>
        <w:rPr>
          <w:rFonts w:asciiTheme="minorEastAsia" w:hAnsiTheme="minorEastAsia"/>
          <w:b/>
          <w:spacing w:val="-6"/>
          <w:sz w:val="28"/>
          <w:szCs w:val="28"/>
        </w:rPr>
      </w:pPr>
      <w:r w:rsidRPr="0025423C">
        <w:rPr>
          <w:rFonts w:asciiTheme="minorEastAsia" w:hAnsiTheme="minorEastAsia" w:hint="eastAsia"/>
          <w:b/>
          <w:spacing w:val="-6"/>
          <w:sz w:val="28"/>
          <w:szCs w:val="28"/>
        </w:rPr>
        <w:t>证实的长伽马射线暴GRB 211211A与千新星成协并提出其物理起源新模型</w:t>
      </w:r>
    </w:p>
    <w:p w:rsidR="0025423C" w:rsidRPr="007338F9" w:rsidRDefault="0025423C" w:rsidP="0025423C">
      <w:pPr>
        <w:spacing w:line="560" w:lineRule="exact"/>
        <w:ind w:firstLine="426"/>
        <w:rPr>
          <w:rFonts w:asciiTheme="minorEastAsia" w:hAnsiTheme="minorEastAsia"/>
          <w:sz w:val="28"/>
          <w:szCs w:val="28"/>
        </w:rPr>
      </w:pPr>
      <w:r w:rsidRPr="007338F9">
        <w:rPr>
          <w:rFonts w:asciiTheme="minorEastAsia" w:hAnsiTheme="minorEastAsia" w:hint="eastAsia"/>
          <w:b/>
          <w:spacing w:val="38"/>
          <w:sz w:val="28"/>
          <w:szCs w:val="28"/>
        </w:rPr>
        <w:t>提名单位：</w:t>
      </w:r>
      <w:r>
        <w:rPr>
          <w:rFonts w:asciiTheme="minorEastAsia" w:hAnsiTheme="minorEastAsia"/>
          <w:sz w:val="28"/>
          <w:szCs w:val="28"/>
        </w:rPr>
        <w:t>江苏省天文学会</w:t>
      </w:r>
    </w:p>
    <w:p w:rsidR="0025423C" w:rsidRDefault="0025423C" w:rsidP="0025423C">
      <w:pPr>
        <w:spacing w:line="560" w:lineRule="exact"/>
        <w:ind w:firstLine="426"/>
        <w:rPr>
          <w:rFonts w:asciiTheme="minorEastAsia" w:hAnsiTheme="minorEastAsia"/>
          <w:sz w:val="28"/>
          <w:szCs w:val="28"/>
        </w:rPr>
      </w:pPr>
      <w:r w:rsidRPr="007338F9">
        <w:rPr>
          <w:rFonts w:asciiTheme="minorEastAsia" w:hAnsiTheme="minorEastAsia"/>
          <w:b/>
          <w:spacing w:val="38"/>
          <w:sz w:val="28"/>
          <w:szCs w:val="28"/>
        </w:rPr>
        <w:t>完成单位：</w:t>
      </w:r>
      <w:r w:rsidRPr="00FE6FC7">
        <w:rPr>
          <w:rFonts w:asciiTheme="minorEastAsia" w:hAnsiTheme="minorEastAsia" w:hint="eastAsia"/>
          <w:sz w:val="28"/>
          <w:szCs w:val="28"/>
        </w:rPr>
        <w:t>南京大学、内华达大学拉斯维加斯分校、</w:t>
      </w:r>
    </w:p>
    <w:p w:rsidR="0025423C" w:rsidRPr="00E568F7" w:rsidRDefault="0025423C" w:rsidP="0025423C">
      <w:pPr>
        <w:spacing w:line="560" w:lineRule="exact"/>
        <w:ind w:leftChars="853" w:left="1791" w:firstLine="426"/>
        <w:rPr>
          <w:rFonts w:asciiTheme="minorEastAsia" w:hAnsiTheme="minorEastAsia"/>
          <w:sz w:val="28"/>
          <w:szCs w:val="28"/>
        </w:rPr>
      </w:pPr>
      <w:r w:rsidRPr="00FE6FC7">
        <w:rPr>
          <w:rFonts w:asciiTheme="minorEastAsia" w:hAnsiTheme="minorEastAsia" w:hint="eastAsia"/>
          <w:sz w:val="28"/>
          <w:szCs w:val="28"/>
        </w:rPr>
        <w:t>中国科学院紫金山天文台、广西大学</w:t>
      </w:r>
    </w:p>
    <w:p w:rsidR="0025423C" w:rsidRDefault="0025423C" w:rsidP="0025423C">
      <w:pPr>
        <w:spacing w:line="560" w:lineRule="exact"/>
        <w:ind w:firstLine="426"/>
        <w:rPr>
          <w:rFonts w:asciiTheme="minorEastAsia" w:hAnsiTheme="minorEastAsia"/>
          <w:sz w:val="28"/>
          <w:szCs w:val="28"/>
        </w:rPr>
      </w:pPr>
      <w:r w:rsidRPr="007338F9">
        <w:rPr>
          <w:rFonts w:asciiTheme="minorEastAsia" w:hAnsiTheme="minorEastAsia"/>
          <w:b/>
          <w:sz w:val="28"/>
          <w:szCs w:val="28"/>
        </w:rPr>
        <w:t>主要完成人：</w:t>
      </w:r>
      <w:r w:rsidRPr="00FE6FC7">
        <w:rPr>
          <w:rFonts w:asciiTheme="minorEastAsia" w:hAnsiTheme="minorEastAsia" w:hint="eastAsia"/>
          <w:sz w:val="28"/>
          <w:szCs w:val="28"/>
        </w:rPr>
        <w:t>张彬彬</w:t>
      </w:r>
      <w:r>
        <w:rPr>
          <w:rFonts w:asciiTheme="minorEastAsia" w:hAnsiTheme="minorEastAsia" w:hint="eastAsia"/>
          <w:sz w:val="28"/>
          <w:szCs w:val="28"/>
        </w:rPr>
        <w:t>、</w:t>
      </w:r>
      <w:r w:rsidRPr="00FE6FC7">
        <w:rPr>
          <w:rFonts w:asciiTheme="minorEastAsia" w:hAnsiTheme="minorEastAsia" w:hint="eastAsia"/>
          <w:sz w:val="28"/>
          <w:szCs w:val="28"/>
        </w:rPr>
        <w:t>杨俊</w:t>
      </w:r>
      <w:r>
        <w:rPr>
          <w:rFonts w:asciiTheme="minorEastAsia" w:hAnsiTheme="minorEastAsia" w:hint="eastAsia"/>
          <w:sz w:val="28"/>
          <w:szCs w:val="28"/>
        </w:rPr>
        <w:t>、</w:t>
      </w:r>
      <w:r w:rsidRPr="00FE6FC7">
        <w:rPr>
          <w:rFonts w:asciiTheme="minorEastAsia" w:hAnsiTheme="minorEastAsia" w:hint="eastAsia"/>
          <w:sz w:val="28"/>
          <w:szCs w:val="28"/>
        </w:rPr>
        <w:t>张冰</w:t>
      </w:r>
      <w:r>
        <w:rPr>
          <w:rFonts w:asciiTheme="minorEastAsia" w:hAnsiTheme="minorEastAsia" w:hint="eastAsia"/>
          <w:sz w:val="28"/>
          <w:szCs w:val="28"/>
        </w:rPr>
        <w:t>、</w:t>
      </w:r>
      <w:r w:rsidRPr="00FE6FC7">
        <w:rPr>
          <w:rFonts w:asciiTheme="minorEastAsia" w:hAnsiTheme="minorEastAsia" w:hint="eastAsia"/>
          <w:sz w:val="28"/>
          <w:szCs w:val="28"/>
        </w:rPr>
        <w:t>李晔</w:t>
      </w:r>
      <w:r>
        <w:rPr>
          <w:rFonts w:asciiTheme="minorEastAsia" w:hAnsiTheme="minorEastAsia" w:hint="eastAsia"/>
          <w:sz w:val="28"/>
          <w:szCs w:val="28"/>
        </w:rPr>
        <w:t>、</w:t>
      </w:r>
      <w:r w:rsidRPr="00FE6FC7">
        <w:rPr>
          <w:rFonts w:asciiTheme="minorEastAsia" w:hAnsiTheme="minorEastAsia" w:hint="eastAsia"/>
          <w:sz w:val="28"/>
          <w:szCs w:val="28"/>
        </w:rPr>
        <w:t>吕候军</w:t>
      </w:r>
    </w:p>
    <w:p w:rsidR="0025423C" w:rsidRDefault="0025423C" w:rsidP="0025423C">
      <w:pPr>
        <w:spacing w:line="560" w:lineRule="exact"/>
        <w:ind w:firstLineChars="200" w:firstLine="560"/>
        <w:rPr>
          <w:rFonts w:asciiTheme="minorEastAsia" w:hAnsiTheme="minorEastAsia"/>
          <w:sz w:val="28"/>
          <w:szCs w:val="28"/>
        </w:rPr>
      </w:pPr>
      <w:r w:rsidRPr="00FE6FC7">
        <w:rPr>
          <w:rFonts w:asciiTheme="minorEastAsia" w:hAnsiTheme="minorEastAsia"/>
          <w:sz w:val="28"/>
          <w:szCs w:val="28"/>
        </w:rPr>
        <w:t xml:space="preserve">发现了一例特殊的长伽马射线暴 GRB 211211A,指出这一长暴与千新星成协，原创性地提出了这一事件的特殊物理起源, 即中子星-白矮星的并合过程，取得多个重大突破性进展，包括确认与长暴GRB211211A </w:t>
      </w:r>
      <w:proofErr w:type="gramStart"/>
      <w:r w:rsidRPr="00FE6FC7">
        <w:rPr>
          <w:rFonts w:asciiTheme="minorEastAsia" w:hAnsiTheme="minorEastAsia"/>
          <w:sz w:val="28"/>
          <w:szCs w:val="28"/>
        </w:rPr>
        <w:t>成协的</w:t>
      </w:r>
      <w:proofErr w:type="gramEnd"/>
      <w:r w:rsidRPr="00FE6FC7">
        <w:rPr>
          <w:rFonts w:asciiTheme="minorEastAsia" w:hAnsiTheme="minorEastAsia"/>
          <w:sz w:val="28"/>
          <w:szCs w:val="28"/>
        </w:rPr>
        <w:t>千新星，首次提出白矮星-中子星并合系统来</w:t>
      </w:r>
      <w:proofErr w:type="gramStart"/>
      <w:r w:rsidRPr="00FE6FC7">
        <w:rPr>
          <w:rFonts w:asciiTheme="minorEastAsia" w:hAnsiTheme="minorEastAsia"/>
          <w:sz w:val="28"/>
          <w:szCs w:val="28"/>
        </w:rPr>
        <w:t>解释该伽马</w:t>
      </w:r>
      <w:proofErr w:type="gramEnd"/>
      <w:r w:rsidRPr="00FE6FC7">
        <w:rPr>
          <w:rFonts w:asciiTheme="minorEastAsia" w:hAnsiTheme="minorEastAsia"/>
          <w:sz w:val="28"/>
          <w:szCs w:val="28"/>
        </w:rPr>
        <w:t xml:space="preserve">暴。在国际学术界引起了广泛关注，已被引用 60 余次。著名天体物理学家 Luigi </w:t>
      </w:r>
      <w:proofErr w:type="spellStart"/>
      <w:r w:rsidRPr="00FE6FC7">
        <w:rPr>
          <w:rFonts w:asciiTheme="minorEastAsia" w:hAnsiTheme="minorEastAsia"/>
          <w:sz w:val="28"/>
          <w:szCs w:val="28"/>
        </w:rPr>
        <w:t>Piro</w:t>
      </w:r>
      <w:proofErr w:type="spellEnd"/>
      <w:r w:rsidRPr="00FE6FC7">
        <w:rPr>
          <w:rFonts w:asciiTheme="minorEastAsia" w:hAnsiTheme="minorEastAsia"/>
          <w:sz w:val="28"/>
          <w:szCs w:val="28"/>
        </w:rPr>
        <w:t xml:space="preserve"> 在同期《自然》期刊的《News &amp; Views》中使用大段文字肯定了该团队提出的白矮星-中子星前身星系统的理论。也受到了国内外媒体的广泛报道，包括《Science News》杂志、美国有线电视新闻网、央视新闻等多家媒体，具备广泛社会影响力。成果的理论和技术为伽马暴多波段观测数据提供了指导作用。长暴与千新星成协的确认拓展了伽马暴前身星系统和中心引擎模型。提出了白矮星-中子星并合这一新的前身星模型用以</w:t>
      </w:r>
      <w:proofErr w:type="gramStart"/>
      <w:r w:rsidRPr="00FE6FC7">
        <w:rPr>
          <w:rFonts w:asciiTheme="minorEastAsia" w:hAnsiTheme="minorEastAsia"/>
          <w:sz w:val="28"/>
          <w:szCs w:val="28"/>
        </w:rPr>
        <w:t>解释长暴</w:t>
      </w:r>
      <w:proofErr w:type="gramEnd"/>
      <w:r w:rsidRPr="00FE6FC7">
        <w:rPr>
          <w:rFonts w:asciiTheme="minorEastAsia" w:hAnsiTheme="minorEastAsia"/>
          <w:sz w:val="28"/>
          <w:szCs w:val="28"/>
        </w:rPr>
        <w:t xml:space="preserve"> GRB211211A 的观测特征，为伽马暴的物理起源提供了新的理论框架，丰富了伽马暴物理起源的多样性。该成果对天体物理学领域的研究具有重要的科技贡献，将推动相关研究领域的进一步发展。</w:t>
      </w:r>
    </w:p>
    <w:p w:rsidR="0025423C" w:rsidRPr="00CA2B3A" w:rsidRDefault="0025423C" w:rsidP="0025423C">
      <w:pPr>
        <w:ind w:firstLineChars="200" w:firstLine="480"/>
        <w:rPr>
          <w:rFonts w:asciiTheme="minorEastAsia" w:hAnsiTheme="minorEastAsia"/>
          <w:sz w:val="24"/>
          <w:szCs w:val="28"/>
        </w:rPr>
      </w:pPr>
    </w:p>
    <w:p w:rsidR="0025423C" w:rsidRPr="00FE6FC7" w:rsidRDefault="0025423C" w:rsidP="0025423C">
      <w:pPr>
        <w:pStyle w:val="a5"/>
        <w:numPr>
          <w:ilvl w:val="0"/>
          <w:numId w:val="1"/>
        </w:numPr>
        <w:spacing w:line="560" w:lineRule="exact"/>
        <w:ind w:firstLineChars="0"/>
        <w:rPr>
          <w:rFonts w:asciiTheme="minorEastAsia" w:hAnsiTheme="minorEastAsia"/>
          <w:b/>
          <w:sz w:val="28"/>
          <w:szCs w:val="28"/>
        </w:rPr>
      </w:pPr>
      <w:r w:rsidRPr="00FE6FC7">
        <w:rPr>
          <w:rFonts w:asciiTheme="minorEastAsia" w:hAnsiTheme="minorEastAsia" w:hint="eastAsia"/>
          <w:b/>
          <w:sz w:val="28"/>
          <w:szCs w:val="28"/>
        </w:rPr>
        <w:lastRenderedPageBreak/>
        <w:t>“夸父一号”卫星成功发射并公布首批科学图像</w:t>
      </w:r>
    </w:p>
    <w:p w:rsidR="0025423C" w:rsidRPr="007338F9" w:rsidRDefault="0025423C" w:rsidP="0025423C">
      <w:pPr>
        <w:spacing w:line="560" w:lineRule="exact"/>
        <w:ind w:firstLine="426"/>
        <w:rPr>
          <w:rFonts w:asciiTheme="minorEastAsia" w:hAnsiTheme="minorEastAsia"/>
          <w:sz w:val="28"/>
          <w:szCs w:val="28"/>
        </w:rPr>
      </w:pPr>
      <w:r w:rsidRPr="007338F9">
        <w:rPr>
          <w:rFonts w:asciiTheme="minorEastAsia" w:hAnsiTheme="minorEastAsia" w:hint="eastAsia"/>
          <w:b/>
          <w:spacing w:val="38"/>
          <w:sz w:val="28"/>
          <w:szCs w:val="28"/>
        </w:rPr>
        <w:t>提名单位：</w:t>
      </w:r>
      <w:r>
        <w:rPr>
          <w:rFonts w:asciiTheme="minorEastAsia" w:hAnsiTheme="minorEastAsia"/>
          <w:sz w:val="28"/>
          <w:szCs w:val="28"/>
        </w:rPr>
        <w:t>江苏省天文学会</w:t>
      </w:r>
    </w:p>
    <w:p w:rsidR="0025423C" w:rsidRDefault="0025423C" w:rsidP="0025423C">
      <w:pPr>
        <w:spacing w:line="560" w:lineRule="exact"/>
        <w:ind w:firstLine="426"/>
        <w:rPr>
          <w:rFonts w:asciiTheme="minorEastAsia" w:hAnsiTheme="minorEastAsia"/>
          <w:sz w:val="28"/>
          <w:szCs w:val="28"/>
        </w:rPr>
      </w:pPr>
      <w:r w:rsidRPr="007338F9">
        <w:rPr>
          <w:rFonts w:asciiTheme="minorEastAsia" w:hAnsiTheme="minorEastAsia"/>
          <w:b/>
          <w:spacing w:val="38"/>
          <w:sz w:val="28"/>
          <w:szCs w:val="28"/>
        </w:rPr>
        <w:t>完成单位：</w:t>
      </w:r>
      <w:r w:rsidRPr="00A343DD">
        <w:rPr>
          <w:rFonts w:asciiTheme="minorEastAsia" w:hAnsiTheme="minorEastAsia" w:hint="eastAsia"/>
          <w:sz w:val="28"/>
          <w:szCs w:val="28"/>
        </w:rPr>
        <w:t>中国科学院紫金山天文台、</w:t>
      </w:r>
    </w:p>
    <w:p w:rsidR="0025423C" w:rsidRPr="00E568F7" w:rsidRDefault="0025423C" w:rsidP="0025423C">
      <w:pPr>
        <w:spacing w:line="560" w:lineRule="exact"/>
        <w:ind w:leftChars="853" w:left="1791" w:firstLine="426"/>
        <w:rPr>
          <w:rFonts w:asciiTheme="minorEastAsia" w:hAnsiTheme="minorEastAsia"/>
          <w:sz w:val="28"/>
          <w:szCs w:val="28"/>
        </w:rPr>
      </w:pPr>
      <w:r w:rsidRPr="00A343DD">
        <w:rPr>
          <w:rFonts w:asciiTheme="minorEastAsia" w:hAnsiTheme="minorEastAsia" w:hint="eastAsia"/>
          <w:sz w:val="28"/>
          <w:szCs w:val="28"/>
        </w:rPr>
        <w:t>中国科学院南京天文光学技术研究所</w:t>
      </w:r>
    </w:p>
    <w:p w:rsidR="0025423C" w:rsidRDefault="0025423C" w:rsidP="0025423C">
      <w:pPr>
        <w:spacing w:line="560" w:lineRule="exact"/>
        <w:ind w:firstLine="426"/>
        <w:rPr>
          <w:rFonts w:asciiTheme="minorEastAsia" w:hAnsiTheme="minorEastAsia"/>
          <w:sz w:val="28"/>
          <w:szCs w:val="28"/>
        </w:rPr>
      </w:pPr>
      <w:r w:rsidRPr="007338F9">
        <w:rPr>
          <w:rFonts w:asciiTheme="minorEastAsia" w:hAnsiTheme="minorEastAsia"/>
          <w:b/>
          <w:sz w:val="28"/>
          <w:szCs w:val="28"/>
        </w:rPr>
        <w:t>主要完成人：</w:t>
      </w:r>
      <w:r w:rsidRPr="00A343DD">
        <w:rPr>
          <w:rFonts w:asciiTheme="minorEastAsia" w:hAnsiTheme="minorEastAsia" w:hint="eastAsia"/>
          <w:sz w:val="28"/>
          <w:szCs w:val="28"/>
        </w:rPr>
        <w:t>甘为群</w:t>
      </w:r>
      <w:r>
        <w:rPr>
          <w:rFonts w:asciiTheme="minorEastAsia" w:hAnsiTheme="minorEastAsia" w:hint="eastAsia"/>
          <w:sz w:val="28"/>
          <w:szCs w:val="28"/>
        </w:rPr>
        <w:t>、</w:t>
      </w:r>
      <w:r w:rsidRPr="00A343DD">
        <w:rPr>
          <w:rFonts w:asciiTheme="minorEastAsia" w:hAnsiTheme="minorEastAsia" w:hint="eastAsia"/>
          <w:sz w:val="28"/>
          <w:szCs w:val="28"/>
        </w:rPr>
        <w:t>张哲</w:t>
      </w:r>
      <w:r>
        <w:rPr>
          <w:rFonts w:asciiTheme="minorEastAsia" w:hAnsiTheme="minorEastAsia" w:hint="eastAsia"/>
          <w:sz w:val="28"/>
          <w:szCs w:val="28"/>
        </w:rPr>
        <w:t>、</w:t>
      </w:r>
      <w:r w:rsidRPr="00A343DD">
        <w:rPr>
          <w:rFonts w:asciiTheme="minorEastAsia" w:hAnsiTheme="minorEastAsia" w:hint="eastAsia"/>
          <w:sz w:val="28"/>
          <w:szCs w:val="28"/>
        </w:rPr>
        <w:t>章海鹰</w:t>
      </w:r>
      <w:r>
        <w:rPr>
          <w:rFonts w:asciiTheme="minorEastAsia" w:hAnsiTheme="minorEastAsia" w:hint="eastAsia"/>
          <w:sz w:val="28"/>
          <w:szCs w:val="28"/>
        </w:rPr>
        <w:t>、</w:t>
      </w:r>
      <w:r w:rsidRPr="00A343DD">
        <w:rPr>
          <w:rFonts w:asciiTheme="minorEastAsia" w:hAnsiTheme="minorEastAsia" w:hint="eastAsia"/>
          <w:sz w:val="28"/>
          <w:szCs w:val="28"/>
        </w:rPr>
        <w:t>黎辉</w:t>
      </w:r>
      <w:r>
        <w:rPr>
          <w:rFonts w:asciiTheme="minorEastAsia" w:hAnsiTheme="minorEastAsia" w:hint="eastAsia"/>
          <w:sz w:val="28"/>
          <w:szCs w:val="28"/>
        </w:rPr>
        <w:t>、</w:t>
      </w:r>
      <w:r w:rsidRPr="00A343DD">
        <w:rPr>
          <w:rFonts w:asciiTheme="minorEastAsia" w:hAnsiTheme="minorEastAsia" w:hint="eastAsia"/>
          <w:sz w:val="28"/>
          <w:szCs w:val="28"/>
        </w:rPr>
        <w:t>黄宇</w:t>
      </w:r>
      <w:r>
        <w:rPr>
          <w:rFonts w:asciiTheme="minorEastAsia" w:hAnsiTheme="minorEastAsia" w:hint="eastAsia"/>
          <w:sz w:val="28"/>
          <w:szCs w:val="28"/>
        </w:rPr>
        <w:t>、</w:t>
      </w:r>
      <w:r w:rsidRPr="00A343DD">
        <w:rPr>
          <w:rFonts w:asciiTheme="minorEastAsia" w:hAnsiTheme="minorEastAsia" w:hint="eastAsia"/>
          <w:sz w:val="28"/>
          <w:szCs w:val="28"/>
        </w:rPr>
        <w:t>苏杨</w:t>
      </w:r>
      <w:r>
        <w:rPr>
          <w:rFonts w:asciiTheme="minorEastAsia" w:hAnsiTheme="minorEastAsia" w:hint="eastAsia"/>
          <w:sz w:val="28"/>
          <w:szCs w:val="28"/>
        </w:rPr>
        <w:t>、</w:t>
      </w:r>
      <w:r w:rsidRPr="00A343DD">
        <w:rPr>
          <w:rFonts w:asciiTheme="minorEastAsia" w:hAnsiTheme="minorEastAsia" w:hint="eastAsia"/>
          <w:sz w:val="28"/>
          <w:szCs w:val="28"/>
        </w:rPr>
        <w:t>封莉</w:t>
      </w:r>
    </w:p>
    <w:p w:rsidR="0025423C" w:rsidRPr="00A343DD" w:rsidRDefault="0025423C" w:rsidP="0025423C">
      <w:pPr>
        <w:spacing w:line="560" w:lineRule="exact"/>
        <w:ind w:firstLineChars="200" w:firstLine="560"/>
        <w:rPr>
          <w:rFonts w:asciiTheme="minorEastAsia" w:hAnsiTheme="minorEastAsia"/>
          <w:sz w:val="28"/>
          <w:szCs w:val="28"/>
        </w:rPr>
      </w:pPr>
      <w:r w:rsidRPr="00A343DD">
        <w:rPr>
          <w:rFonts w:asciiTheme="minorEastAsia" w:hAnsiTheme="minorEastAsia"/>
          <w:sz w:val="28"/>
          <w:szCs w:val="28"/>
        </w:rPr>
        <w:t>夸父一号</w:t>
      </w:r>
      <w:proofErr w:type="gramStart"/>
      <w:r w:rsidRPr="00A343DD">
        <w:rPr>
          <w:rFonts w:asciiTheme="minorEastAsia" w:hAnsiTheme="minorEastAsia"/>
          <w:sz w:val="28"/>
          <w:szCs w:val="28"/>
        </w:rPr>
        <w:t>”</w:t>
      </w:r>
      <w:proofErr w:type="gramEnd"/>
      <w:r w:rsidRPr="00A343DD">
        <w:rPr>
          <w:rFonts w:asciiTheme="minorEastAsia" w:hAnsiTheme="minorEastAsia"/>
          <w:sz w:val="28"/>
          <w:szCs w:val="28"/>
        </w:rPr>
        <w:t>卫星是我国首颗综合性太阳专用卫星，其成功发射实现了我国空间太阳探测卫星的跨越式突破。卫星的主要创新点是：国际上首次以“一磁两暴”作为卫星的科学目标并且配置相应的载荷组合；国际上首次在一颗近地卫星平台上，对全日面矢量磁场、太阳耀斑非热辐射成像、日冕物质抛射的日面形成和近日冕传播同时进行观测；国际上首次在莱曼阿尔法谱线波段实现全日面和近日冕无缝同时成像观测。三台载荷既各有特色也具有组合优势，全日面</w:t>
      </w:r>
      <w:proofErr w:type="gramStart"/>
      <w:r w:rsidRPr="00A343DD">
        <w:rPr>
          <w:rFonts w:asciiTheme="minorEastAsia" w:hAnsiTheme="minorEastAsia"/>
          <w:sz w:val="28"/>
          <w:szCs w:val="28"/>
        </w:rPr>
        <w:t>矢量磁像仪</w:t>
      </w:r>
      <w:proofErr w:type="gramEnd"/>
      <w:r w:rsidRPr="00A343DD">
        <w:rPr>
          <w:rFonts w:asciiTheme="minorEastAsia" w:hAnsiTheme="minorEastAsia"/>
          <w:sz w:val="28"/>
          <w:szCs w:val="28"/>
        </w:rPr>
        <w:t>能够观测太阳的全日面</w:t>
      </w:r>
      <w:proofErr w:type="gramStart"/>
      <w:r w:rsidRPr="00A343DD">
        <w:rPr>
          <w:rFonts w:asciiTheme="minorEastAsia" w:hAnsiTheme="minorEastAsia"/>
          <w:sz w:val="28"/>
          <w:szCs w:val="28"/>
        </w:rPr>
        <w:t>矢量磁像数据</w:t>
      </w:r>
      <w:proofErr w:type="gramEnd"/>
      <w:r w:rsidRPr="00A343DD">
        <w:rPr>
          <w:rFonts w:asciiTheme="minorEastAsia" w:hAnsiTheme="minorEastAsia"/>
          <w:sz w:val="28"/>
          <w:szCs w:val="28"/>
        </w:rPr>
        <w:t xml:space="preserve">，其观测灵敏度和时间分辨率在国际同类探测器中处于领先水平；莱曼阿尔法太阳望远镜将带来全新的太阳物理信息；而太阳硬 X 射线成像仪则能够对 30 至 200keV </w:t>
      </w:r>
      <w:proofErr w:type="gramStart"/>
      <w:r w:rsidRPr="00A343DD">
        <w:rPr>
          <w:rFonts w:asciiTheme="minorEastAsia" w:hAnsiTheme="minorEastAsia"/>
          <w:sz w:val="28"/>
          <w:szCs w:val="28"/>
        </w:rPr>
        <w:t>能段的</w:t>
      </w:r>
      <w:proofErr w:type="gramEnd"/>
      <w:r w:rsidRPr="00A343DD">
        <w:rPr>
          <w:rFonts w:asciiTheme="minorEastAsia" w:hAnsiTheme="minorEastAsia"/>
          <w:sz w:val="28"/>
          <w:szCs w:val="28"/>
        </w:rPr>
        <w:t xml:space="preserve"> X 射线进行成像，</w:t>
      </w:r>
      <w:proofErr w:type="gramStart"/>
      <w:r w:rsidRPr="00A343DD">
        <w:rPr>
          <w:rFonts w:asciiTheme="minorEastAsia" w:hAnsiTheme="minorEastAsia"/>
          <w:sz w:val="28"/>
          <w:szCs w:val="28"/>
        </w:rPr>
        <w:t>其傅里叶</w:t>
      </w:r>
      <w:proofErr w:type="gramEnd"/>
      <w:r w:rsidRPr="00A343DD">
        <w:rPr>
          <w:rFonts w:asciiTheme="minorEastAsia" w:hAnsiTheme="minorEastAsia"/>
          <w:sz w:val="28"/>
          <w:szCs w:val="28"/>
        </w:rPr>
        <w:t>分量在同类型设备中最高。“夸父一号”卫星的成功发射和首批科学图像的公布引起了国内外的广泛关注，先后入选了《中央电视台 2022 年度国内十大科技新闻》、《科技日报 2022 年国内十大科技新闻》、《两院院士评选“2022 年中国/世界十大科技进展新闻》、《2022 年中国航天十大新闻》、首届《知乎科技榜》。</w:t>
      </w:r>
    </w:p>
    <w:p w:rsidR="0025423C" w:rsidRPr="00CA2B3A" w:rsidRDefault="0025423C" w:rsidP="0025423C">
      <w:pPr>
        <w:ind w:firstLineChars="200" w:firstLine="480"/>
        <w:rPr>
          <w:rFonts w:asciiTheme="minorEastAsia" w:hAnsiTheme="minorEastAsia"/>
          <w:sz w:val="24"/>
          <w:szCs w:val="28"/>
        </w:rPr>
      </w:pPr>
    </w:p>
    <w:p w:rsidR="0025423C" w:rsidRPr="00A343DD" w:rsidRDefault="0025423C" w:rsidP="0025423C">
      <w:pPr>
        <w:pStyle w:val="a5"/>
        <w:numPr>
          <w:ilvl w:val="0"/>
          <w:numId w:val="1"/>
        </w:numPr>
        <w:spacing w:line="560" w:lineRule="exact"/>
        <w:ind w:firstLineChars="0"/>
        <w:rPr>
          <w:rFonts w:asciiTheme="minorEastAsia" w:hAnsiTheme="minorEastAsia"/>
          <w:b/>
          <w:sz w:val="28"/>
          <w:szCs w:val="28"/>
        </w:rPr>
      </w:pPr>
      <w:r w:rsidRPr="00A343DD">
        <w:rPr>
          <w:rFonts w:asciiTheme="minorEastAsia" w:hAnsiTheme="minorEastAsia" w:hint="eastAsia"/>
          <w:b/>
          <w:sz w:val="28"/>
          <w:szCs w:val="28"/>
        </w:rPr>
        <w:t>近地小行星撞击过程的研究</w:t>
      </w:r>
    </w:p>
    <w:p w:rsidR="0025423C" w:rsidRDefault="0025423C" w:rsidP="0025423C">
      <w:pPr>
        <w:spacing w:line="560" w:lineRule="exact"/>
        <w:ind w:firstLine="350"/>
        <w:rPr>
          <w:rFonts w:asciiTheme="minorEastAsia" w:hAnsiTheme="minorEastAsia"/>
          <w:sz w:val="28"/>
          <w:szCs w:val="28"/>
        </w:rPr>
      </w:pPr>
      <w:r w:rsidRPr="007338F9">
        <w:rPr>
          <w:rFonts w:asciiTheme="minorEastAsia" w:hAnsiTheme="minorEastAsia" w:hint="eastAsia"/>
          <w:b/>
          <w:spacing w:val="38"/>
          <w:sz w:val="28"/>
          <w:szCs w:val="28"/>
        </w:rPr>
        <w:t>提名单位：</w:t>
      </w:r>
      <w:r>
        <w:rPr>
          <w:rFonts w:asciiTheme="minorEastAsia" w:hAnsiTheme="minorEastAsia"/>
          <w:sz w:val="28"/>
          <w:szCs w:val="28"/>
        </w:rPr>
        <w:t>江苏省天文学会</w:t>
      </w:r>
    </w:p>
    <w:p w:rsidR="0025423C" w:rsidRPr="00E568F7" w:rsidRDefault="0025423C" w:rsidP="0025423C">
      <w:pPr>
        <w:spacing w:line="560" w:lineRule="exact"/>
        <w:ind w:firstLine="350"/>
        <w:rPr>
          <w:rFonts w:asciiTheme="minorEastAsia" w:hAnsiTheme="minorEastAsia"/>
          <w:sz w:val="28"/>
          <w:szCs w:val="28"/>
        </w:rPr>
      </w:pPr>
      <w:r w:rsidRPr="007338F9">
        <w:rPr>
          <w:rFonts w:asciiTheme="minorEastAsia" w:hAnsiTheme="minorEastAsia"/>
          <w:b/>
          <w:spacing w:val="38"/>
          <w:sz w:val="28"/>
          <w:szCs w:val="28"/>
        </w:rPr>
        <w:t>完成单位：</w:t>
      </w:r>
      <w:r w:rsidRPr="00330C59">
        <w:rPr>
          <w:rFonts w:asciiTheme="minorEastAsia" w:hAnsiTheme="minorEastAsia" w:hint="eastAsia"/>
          <w:sz w:val="28"/>
          <w:szCs w:val="28"/>
        </w:rPr>
        <w:t>中国科学院紫金山天文台</w:t>
      </w:r>
    </w:p>
    <w:p w:rsidR="0025423C" w:rsidRDefault="0025423C" w:rsidP="0025423C">
      <w:pPr>
        <w:spacing w:line="560" w:lineRule="exact"/>
        <w:ind w:firstLine="350"/>
        <w:rPr>
          <w:rFonts w:asciiTheme="minorEastAsia" w:hAnsiTheme="minorEastAsia"/>
          <w:sz w:val="28"/>
          <w:szCs w:val="28"/>
        </w:rPr>
      </w:pPr>
      <w:r w:rsidRPr="007338F9">
        <w:rPr>
          <w:rFonts w:asciiTheme="minorEastAsia" w:hAnsiTheme="minorEastAsia"/>
          <w:b/>
          <w:sz w:val="28"/>
          <w:szCs w:val="28"/>
        </w:rPr>
        <w:t>主要完成人：</w:t>
      </w:r>
      <w:r w:rsidRPr="00330C59">
        <w:rPr>
          <w:rFonts w:asciiTheme="minorEastAsia" w:hAnsiTheme="minorEastAsia" w:hint="eastAsia"/>
          <w:sz w:val="28"/>
          <w:szCs w:val="28"/>
        </w:rPr>
        <w:t>李晔、李彬、徐伟彪、廖世勇、赵玉晖</w:t>
      </w:r>
      <w:r>
        <w:rPr>
          <w:rFonts w:asciiTheme="minorEastAsia" w:hAnsiTheme="minorEastAsia" w:hint="eastAsia"/>
          <w:sz w:val="28"/>
          <w:szCs w:val="28"/>
        </w:rPr>
        <w:t>、</w:t>
      </w:r>
      <w:r w:rsidRPr="00330C59">
        <w:rPr>
          <w:rFonts w:asciiTheme="minorEastAsia" w:hAnsiTheme="minorEastAsia" w:hint="eastAsia"/>
          <w:sz w:val="28"/>
          <w:szCs w:val="28"/>
        </w:rPr>
        <w:t>赵海斌</w:t>
      </w:r>
    </w:p>
    <w:p w:rsidR="0025423C" w:rsidRPr="00330C59" w:rsidRDefault="0025423C" w:rsidP="0025423C">
      <w:pPr>
        <w:spacing w:line="560" w:lineRule="exact"/>
        <w:ind w:firstLineChars="200" w:firstLine="560"/>
        <w:rPr>
          <w:rFonts w:asciiTheme="minorEastAsia" w:hAnsiTheme="minorEastAsia"/>
          <w:sz w:val="28"/>
          <w:szCs w:val="28"/>
        </w:rPr>
      </w:pPr>
      <w:r w:rsidRPr="00330C59">
        <w:rPr>
          <w:rFonts w:asciiTheme="minorEastAsia" w:hAnsiTheme="minorEastAsia"/>
          <w:sz w:val="28"/>
          <w:szCs w:val="28"/>
        </w:rPr>
        <w:lastRenderedPageBreak/>
        <w:t>目前国外已针对近地小行星撞击地球范围和轨迹动力学过程这一关键科学技术采用多学科交叉研究方式，将陨石物化特性、进入大气层动力学轨迹计算以及撞击灾害评估进行系统性的研究，已经构建了较为完善的研究体系。然而，相关领域国内研究极为薄弱，且已有的工作无法突破学科的壁垒，仅简单的进行模拟计算或者陨石成分分析。</w:t>
      </w:r>
      <w:r>
        <w:rPr>
          <w:rFonts w:asciiTheme="minorEastAsia" w:hAnsiTheme="minorEastAsia" w:hint="eastAsia"/>
          <w:sz w:val="28"/>
          <w:szCs w:val="28"/>
        </w:rPr>
        <w:t>该成果</w:t>
      </w:r>
      <w:r w:rsidRPr="00330C59">
        <w:rPr>
          <w:rFonts w:asciiTheme="minorEastAsia" w:hAnsiTheme="minorEastAsia"/>
          <w:sz w:val="28"/>
          <w:szCs w:val="28"/>
        </w:rPr>
        <w:t>不仅揭示了全球目前已知最长的阿勒泰陨落带的形成之迷，创新性提出小行星低仰角撞击的“打水漂”式轨道陨落机制，</w:t>
      </w:r>
      <w:proofErr w:type="gramStart"/>
      <w:r w:rsidRPr="00330C59">
        <w:rPr>
          <w:rFonts w:asciiTheme="minorEastAsia" w:hAnsiTheme="minorEastAsia"/>
          <w:sz w:val="28"/>
          <w:szCs w:val="28"/>
        </w:rPr>
        <w:t>且建立</w:t>
      </w:r>
      <w:proofErr w:type="gramEnd"/>
      <w:r w:rsidRPr="00330C59">
        <w:rPr>
          <w:rFonts w:asciiTheme="minorEastAsia" w:hAnsiTheme="minorEastAsia"/>
          <w:sz w:val="28"/>
          <w:szCs w:val="28"/>
        </w:rPr>
        <w:t>了近地小行星进入地球大气层的动力学轨道演化模型，为近地小行星撞击危险走廊的高精度判别构建了新的方法，为理解近地小行星撞击地球的范围和如何应对小行星撞击风险提供了新的思路。</w:t>
      </w:r>
      <w:r>
        <w:rPr>
          <w:rFonts w:asciiTheme="minorEastAsia" w:hAnsiTheme="minorEastAsia" w:hint="eastAsia"/>
          <w:sz w:val="28"/>
          <w:szCs w:val="28"/>
        </w:rPr>
        <w:t>该</w:t>
      </w:r>
      <w:r w:rsidRPr="00330C59">
        <w:rPr>
          <w:rFonts w:asciiTheme="minorEastAsia" w:hAnsiTheme="minorEastAsia"/>
          <w:sz w:val="28"/>
          <w:szCs w:val="28"/>
        </w:rPr>
        <w:t>项工作在国际学术期刊《Science Advances》上发表。同日出版的《Nature》杂志在其“研究亮点”栏目中，以“一块太空岩石的诡异跳跃导致了地球上最大的陨石散落场”为题报道了这一研究成果。《Nature》报道最后称“了解小行星可能撞击的范围可以帮助人类为宇宙碰撞的风险做好准备”。该成果同时被央视新闻、中国科学报、美国月球与行星研究所等多家国内外媒体或机构报道。</w:t>
      </w:r>
    </w:p>
    <w:p w:rsidR="0025423C" w:rsidRPr="00CA2B3A" w:rsidRDefault="0025423C" w:rsidP="0025423C">
      <w:pPr>
        <w:ind w:firstLineChars="200" w:firstLine="480"/>
        <w:rPr>
          <w:rFonts w:asciiTheme="minorEastAsia" w:hAnsiTheme="minorEastAsia"/>
          <w:sz w:val="24"/>
          <w:szCs w:val="28"/>
        </w:rPr>
      </w:pPr>
    </w:p>
    <w:p w:rsidR="0025423C" w:rsidRPr="0025423C" w:rsidRDefault="0025423C" w:rsidP="0025423C">
      <w:pPr>
        <w:pStyle w:val="a5"/>
        <w:numPr>
          <w:ilvl w:val="0"/>
          <w:numId w:val="1"/>
        </w:numPr>
        <w:spacing w:line="560" w:lineRule="exact"/>
        <w:ind w:firstLineChars="0"/>
        <w:rPr>
          <w:rFonts w:asciiTheme="minorEastAsia" w:hAnsiTheme="minorEastAsia"/>
          <w:b/>
          <w:spacing w:val="-6"/>
          <w:sz w:val="28"/>
          <w:szCs w:val="28"/>
        </w:rPr>
      </w:pPr>
      <w:r w:rsidRPr="0025423C">
        <w:rPr>
          <w:rFonts w:asciiTheme="minorEastAsia" w:hAnsiTheme="minorEastAsia" w:hint="eastAsia"/>
          <w:b/>
          <w:spacing w:val="-6"/>
          <w:sz w:val="28"/>
          <w:szCs w:val="28"/>
        </w:rPr>
        <w:t>二</w:t>
      </w:r>
      <w:proofErr w:type="gramStart"/>
      <w:r w:rsidRPr="0025423C">
        <w:rPr>
          <w:rFonts w:asciiTheme="minorEastAsia" w:hAnsiTheme="minorEastAsia" w:hint="eastAsia"/>
          <w:b/>
          <w:spacing w:val="-6"/>
          <w:sz w:val="28"/>
          <w:szCs w:val="28"/>
        </w:rPr>
        <w:t>维材料</w:t>
      </w:r>
      <w:proofErr w:type="gramEnd"/>
      <w:r w:rsidRPr="0025423C">
        <w:rPr>
          <w:rFonts w:asciiTheme="minorEastAsia" w:hAnsiTheme="minorEastAsia" w:hint="eastAsia"/>
          <w:b/>
          <w:spacing w:val="-6"/>
          <w:sz w:val="28"/>
          <w:szCs w:val="28"/>
        </w:rPr>
        <w:t>/二维电子气范德华异质结中实现光诱发的巨大正负磁电阻共存</w:t>
      </w:r>
    </w:p>
    <w:p w:rsidR="0025423C" w:rsidRPr="00330C59" w:rsidRDefault="0025423C" w:rsidP="0025423C">
      <w:pPr>
        <w:spacing w:line="560" w:lineRule="exact"/>
        <w:ind w:firstLine="322"/>
        <w:rPr>
          <w:rFonts w:asciiTheme="minorEastAsia" w:hAnsiTheme="minorEastAsia"/>
          <w:b/>
          <w:spacing w:val="38"/>
          <w:sz w:val="28"/>
          <w:szCs w:val="28"/>
        </w:rPr>
      </w:pPr>
      <w:r w:rsidRPr="007338F9">
        <w:rPr>
          <w:rFonts w:asciiTheme="minorEastAsia" w:hAnsiTheme="minorEastAsia" w:hint="eastAsia"/>
          <w:b/>
          <w:spacing w:val="38"/>
          <w:sz w:val="28"/>
          <w:szCs w:val="28"/>
        </w:rPr>
        <w:t>提名单位：</w:t>
      </w:r>
      <w:r w:rsidRPr="00330C59">
        <w:rPr>
          <w:rFonts w:asciiTheme="minorEastAsia" w:hAnsiTheme="minorEastAsia"/>
          <w:sz w:val="28"/>
          <w:szCs w:val="28"/>
        </w:rPr>
        <w:t>苏州科技大学</w:t>
      </w:r>
      <w:r w:rsidRPr="00330C59">
        <w:rPr>
          <w:rFonts w:asciiTheme="minorEastAsia" w:hAnsiTheme="minorEastAsia"/>
          <w:b/>
          <w:spacing w:val="38"/>
          <w:sz w:val="28"/>
          <w:szCs w:val="28"/>
        </w:rPr>
        <w:t xml:space="preserve"> </w:t>
      </w:r>
    </w:p>
    <w:p w:rsidR="0025423C" w:rsidRPr="00E568F7" w:rsidRDefault="0025423C" w:rsidP="0025423C">
      <w:pPr>
        <w:spacing w:line="560" w:lineRule="exact"/>
        <w:ind w:firstLine="322"/>
        <w:rPr>
          <w:rFonts w:asciiTheme="minorEastAsia" w:hAnsiTheme="minorEastAsia"/>
          <w:sz w:val="28"/>
          <w:szCs w:val="28"/>
        </w:rPr>
      </w:pPr>
      <w:r w:rsidRPr="007338F9">
        <w:rPr>
          <w:rFonts w:asciiTheme="minorEastAsia" w:hAnsiTheme="minorEastAsia"/>
          <w:b/>
          <w:spacing w:val="38"/>
          <w:sz w:val="28"/>
          <w:szCs w:val="28"/>
        </w:rPr>
        <w:t>完成单位：</w:t>
      </w:r>
      <w:r w:rsidRPr="00330C59">
        <w:rPr>
          <w:rFonts w:asciiTheme="minorEastAsia" w:hAnsiTheme="minorEastAsia" w:hint="eastAsia"/>
          <w:sz w:val="28"/>
          <w:szCs w:val="28"/>
        </w:rPr>
        <w:t>苏州科技大学</w:t>
      </w:r>
    </w:p>
    <w:p w:rsidR="0025423C" w:rsidRDefault="0025423C" w:rsidP="0025423C">
      <w:pPr>
        <w:spacing w:line="560" w:lineRule="exact"/>
        <w:ind w:firstLine="322"/>
        <w:rPr>
          <w:rFonts w:asciiTheme="minorEastAsia" w:hAnsiTheme="minorEastAsia"/>
          <w:sz w:val="28"/>
          <w:szCs w:val="28"/>
        </w:rPr>
      </w:pPr>
      <w:r w:rsidRPr="007338F9">
        <w:rPr>
          <w:rFonts w:asciiTheme="minorEastAsia" w:hAnsiTheme="minorEastAsia"/>
          <w:b/>
          <w:sz w:val="28"/>
          <w:szCs w:val="28"/>
        </w:rPr>
        <w:t>主要完成人：</w:t>
      </w:r>
      <w:r w:rsidRPr="00330C59">
        <w:rPr>
          <w:rFonts w:asciiTheme="minorEastAsia" w:hAnsiTheme="minorEastAsia" w:hint="eastAsia"/>
          <w:sz w:val="28"/>
          <w:szCs w:val="28"/>
        </w:rPr>
        <w:t>姜昱丞、张金磊、赵润、刘国珍、高炬</w:t>
      </w:r>
    </w:p>
    <w:p w:rsidR="0025423C" w:rsidRPr="00330C59" w:rsidRDefault="0025423C" w:rsidP="0025423C">
      <w:pPr>
        <w:spacing w:line="560" w:lineRule="exact"/>
        <w:ind w:firstLineChars="200" w:firstLine="560"/>
        <w:rPr>
          <w:rFonts w:asciiTheme="minorEastAsia" w:hAnsiTheme="minorEastAsia"/>
          <w:sz w:val="28"/>
          <w:szCs w:val="28"/>
        </w:rPr>
      </w:pPr>
      <w:r w:rsidRPr="00330C59">
        <w:rPr>
          <w:rFonts w:asciiTheme="minorEastAsia" w:hAnsiTheme="minorEastAsia"/>
          <w:sz w:val="28"/>
          <w:szCs w:val="28"/>
        </w:rPr>
        <w:t xml:space="preserve">团队利用首创的氩离子束辅助轰击工艺方法构建新型的二维硒化钨/二维电子气（WSe2/Q2DEG）范德华异质结，并首次观察到了光诱发的巨大正负磁电阻共存现象，即 Giant bipolar </w:t>
      </w:r>
      <w:proofErr w:type="spellStart"/>
      <w:r w:rsidRPr="00330C59">
        <w:rPr>
          <w:rFonts w:asciiTheme="minorEastAsia" w:hAnsiTheme="minorEastAsia"/>
          <w:sz w:val="28"/>
          <w:szCs w:val="28"/>
        </w:rPr>
        <w:t>unidirectionalphotomagnetoresistance</w:t>
      </w:r>
      <w:proofErr w:type="spellEnd"/>
      <w:r w:rsidRPr="00330C59">
        <w:rPr>
          <w:rFonts w:asciiTheme="minorEastAsia" w:hAnsiTheme="minorEastAsia"/>
          <w:sz w:val="28"/>
          <w:szCs w:val="28"/>
        </w:rPr>
        <w:t>, GBU-</w:t>
      </w:r>
      <w:proofErr w:type="spellStart"/>
      <w:r w:rsidRPr="00330C59">
        <w:rPr>
          <w:rFonts w:asciiTheme="minorEastAsia" w:hAnsiTheme="minorEastAsia"/>
          <w:sz w:val="28"/>
          <w:szCs w:val="28"/>
        </w:rPr>
        <w:t>PhMR</w:t>
      </w:r>
      <w:proofErr w:type="spellEnd"/>
      <w:r w:rsidRPr="00330C59">
        <w:rPr>
          <w:rFonts w:asciiTheme="minorEastAsia" w:hAnsiTheme="minorEastAsia"/>
          <w:sz w:val="28"/>
          <w:szCs w:val="28"/>
        </w:rPr>
        <w:t>。基于实验和理论研究，得出GBU-</w:t>
      </w:r>
      <w:proofErr w:type="spellStart"/>
      <w:r w:rsidRPr="00330C59">
        <w:rPr>
          <w:rFonts w:asciiTheme="minorEastAsia" w:hAnsiTheme="minorEastAsia"/>
          <w:sz w:val="28"/>
          <w:szCs w:val="28"/>
        </w:rPr>
        <w:t>PhMR</w:t>
      </w:r>
      <w:proofErr w:type="spellEnd"/>
      <w:r w:rsidRPr="00330C59">
        <w:rPr>
          <w:rFonts w:asciiTheme="minorEastAsia" w:hAnsiTheme="minorEastAsia"/>
          <w:sz w:val="28"/>
          <w:szCs w:val="28"/>
        </w:rPr>
        <w:t xml:space="preserve"> 效应源于面外自旋劈裂、磁场增强光载流子的复合和</w:t>
      </w:r>
      <w:r w:rsidRPr="00330C59">
        <w:rPr>
          <w:rFonts w:asciiTheme="minorEastAsia" w:hAnsiTheme="minorEastAsia"/>
          <w:sz w:val="28"/>
          <w:szCs w:val="28"/>
        </w:rPr>
        <w:lastRenderedPageBreak/>
        <w:t xml:space="preserve">塞曼效应的共同作用。该研究成果发表于四大名刊之一、国际顶级期刊《美国国家科学院院刊》（Proceedings of the National Academy of Sciences of </w:t>
      </w:r>
      <w:proofErr w:type="spellStart"/>
      <w:r w:rsidRPr="00330C59">
        <w:rPr>
          <w:rFonts w:asciiTheme="minorEastAsia" w:hAnsiTheme="minorEastAsia"/>
          <w:sz w:val="28"/>
          <w:szCs w:val="28"/>
        </w:rPr>
        <w:t>theUnited</w:t>
      </w:r>
      <w:proofErr w:type="spellEnd"/>
      <w:r w:rsidRPr="00330C59">
        <w:rPr>
          <w:rFonts w:asciiTheme="minorEastAsia" w:hAnsiTheme="minorEastAsia"/>
          <w:sz w:val="28"/>
          <w:szCs w:val="28"/>
        </w:rPr>
        <w:t xml:space="preserve"> States of America, PNAS)。此研究工作</w:t>
      </w:r>
      <w:proofErr w:type="gramStart"/>
      <w:r w:rsidRPr="00330C59">
        <w:rPr>
          <w:rFonts w:asciiTheme="minorEastAsia" w:hAnsiTheme="minorEastAsia"/>
          <w:sz w:val="28"/>
          <w:szCs w:val="28"/>
        </w:rPr>
        <w:t>是继本团队</w:t>
      </w:r>
      <w:proofErr w:type="gramEnd"/>
      <w:r w:rsidRPr="00330C59">
        <w:rPr>
          <w:rFonts w:asciiTheme="minorEastAsia" w:hAnsiTheme="minorEastAsia"/>
          <w:sz w:val="28"/>
          <w:szCs w:val="28"/>
        </w:rPr>
        <w:t xml:space="preserve">在该异质结体系中发现可充电式光电导新效应[发表于 Phys. Rev. </w:t>
      </w:r>
      <w:proofErr w:type="spellStart"/>
      <w:r w:rsidRPr="00330C59">
        <w:rPr>
          <w:rFonts w:asciiTheme="minorEastAsia" w:hAnsiTheme="minorEastAsia"/>
          <w:sz w:val="28"/>
          <w:szCs w:val="28"/>
        </w:rPr>
        <w:t>Lett</w:t>
      </w:r>
      <w:proofErr w:type="spellEnd"/>
      <w:r w:rsidRPr="00330C59">
        <w:rPr>
          <w:rFonts w:asciiTheme="minorEastAsia" w:hAnsiTheme="minorEastAsia"/>
          <w:sz w:val="28"/>
          <w:szCs w:val="28"/>
        </w:rPr>
        <w:t>. 127(21), 217401.(2021)]之后又一突破性成果。基于相关异质结的设计，在相同的器件体系中实现了4,900,000%</w:t>
      </w:r>
      <w:proofErr w:type="gramStart"/>
      <w:r w:rsidRPr="00330C59">
        <w:rPr>
          <w:rFonts w:asciiTheme="minorEastAsia" w:hAnsiTheme="minorEastAsia"/>
          <w:sz w:val="28"/>
          <w:szCs w:val="28"/>
        </w:rPr>
        <w:t>正磁电阻</w:t>
      </w:r>
      <w:proofErr w:type="gramEnd"/>
      <w:r w:rsidRPr="00330C59">
        <w:rPr>
          <w:rFonts w:asciiTheme="minorEastAsia" w:hAnsiTheme="minorEastAsia"/>
          <w:sz w:val="28"/>
          <w:szCs w:val="28"/>
        </w:rPr>
        <w:t>和-99.8%</w:t>
      </w:r>
      <w:proofErr w:type="gramStart"/>
      <w:r w:rsidRPr="00330C59">
        <w:rPr>
          <w:rFonts w:asciiTheme="minorEastAsia" w:hAnsiTheme="minorEastAsia"/>
          <w:sz w:val="28"/>
          <w:szCs w:val="28"/>
        </w:rPr>
        <w:t>负磁电阻</w:t>
      </w:r>
      <w:proofErr w:type="gramEnd"/>
      <w:r w:rsidRPr="00330C59">
        <w:rPr>
          <w:rFonts w:asciiTheme="minorEastAsia" w:hAnsiTheme="minorEastAsia"/>
          <w:sz w:val="28"/>
          <w:szCs w:val="28"/>
        </w:rPr>
        <w:t>，两者都达到了当</w:t>
      </w:r>
      <w:proofErr w:type="gramStart"/>
      <w:r w:rsidRPr="00330C59">
        <w:rPr>
          <w:rFonts w:asciiTheme="minorEastAsia" w:hAnsiTheme="minorEastAsia"/>
          <w:sz w:val="28"/>
          <w:szCs w:val="28"/>
        </w:rPr>
        <w:t>前领域</w:t>
      </w:r>
      <w:proofErr w:type="gramEnd"/>
      <w:r w:rsidRPr="00330C59">
        <w:rPr>
          <w:rFonts w:asciiTheme="minorEastAsia" w:hAnsiTheme="minorEastAsia"/>
          <w:sz w:val="28"/>
          <w:szCs w:val="28"/>
        </w:rPr>
        <w:t>内的最高水平。通过构建理论模型，阐明了该现象产生的基本原理，</w:t>
      </w:r>
      <w:proofErr w:type="gramStart"/>
      <w:r w:rsidRPr="00330C59">
        <w:rPr>
          <w:rFonts w:asciiTheme="minorEastAsia" w:hAnsiTheme="minorEastAsia"/>
          <w:sz w:val="28"/>
          <w:szCs w:val="28"/>
        </w:rPr>
        <w:t>为领域</w:t>
      </w:r>
      <w:proofErr w:type="gramEnd"/>
      <w:r w:rsidRPr="00330C59">
        <w:rPr>
          <w:rFonts w:asciiTheme="minorEastAsia" w:hAnsiTheme="minorEastAsia"/>
          <w:sz w:val="28"/>
          <w:szCs w:val="28"/>
        </w:rPr>
        <w:t>内探索新的光磁输运现象提供了新方向。该工作还提出了光调谐自旋电子器件的新体系和新理论，在光磁传感、智能存储、磁成像等领域具有广泛的应用前景。</w:t>
      </w:r>
    </w:p>
    <w:p w:rsidR="0025423C" w:rsidRPr="00CA2B3A" w:rsidRDefault="0025423C" w:rsidP="0025423C">
      <w:pPr>
        <w:ind w:firstLineChars="200" w:firstLine="480"/>
        <w:rPr>
          <w:rFonts w:asciiTheme="minorEastAsia" w:hAnsiTheme="minorEastAsia"/>
          <w:sz w:val="24"/>
          <w:szCs w:val="28"/>
        </w:rPr>
      </w:pPr>
    </w:p>
    <w:p w:rsidR="0025423C" w:rsidRPr="00D258C4" w:rsidRDefault="0025423C" w:rsidP="0025423C">
      <w:pPr>
        <w:pStyle w:val="a5"/>
        <w:numPr>
          <w:ilvl w:val="0"/>
          <w:numId w:val="1"/>
        </w:numPr>
        <w:spacing w:line="560" w:lineRule="exact"/>
        <w:ind w:firstLineChars="0"/>
        <w:rPr>
          <w:rFonts w:asciiTheme="minorEastAsia" w:hAnsiTheme="minorEastAsia"/>
          <w:b/>
          <w:sz w:val="28"/>
          <w:szCs w:val="28"/>
        </w:rPr>
      </w:pPr>
      <w:r w:rsidRPr="00D258C4">
        <w:rPr>
          <w:rFonts w:asciiTheme="minorEastAsia" w:hAnsiTheme="minorEastAsia" w:hint="eastAsia"/>
          <w:b/>
          <w:sz w:val="28"/>
          <w:szCs w:val="28"/>
        </w:rPr>
        <w:t>被动式柔性预储能混杂多孔复合材料防护结构设计理论与技术</w:t>
      </w:r>
    </w:p>
    <w:p w:rsidR="0025423C" w:rsidRPr="007338F9" w:rsidRDefault="0025423C" w:rsidP="0025423C">
      <w:pPr>
        <w:spacing w:line="560" w:lineRule="exact"/>
        <w:ind w:firstLine="392"/>
        <w:rPr>
          <w:rFonts w:asciiTheme="minorEastAsia" w:hAnsiTheme="minorEastAsia"/>
          <w:sz w:val="28"/>
          <w:szCs w:val="28"/>
        </w:rPr>
      </w:pPr>
      <w:r w:rsidRPr="007338F9">
        <w:rPr>
          <w:rFonts w:asciiTheme="minorEastAsia" w:hAnsiTheme="minorEastAsia" w:hint="eastAsia"/>
          <w:b/>
          <w:spacing w:val="38"/>
          <w:sz w:val="28"/>
          <w:szCs w:val="28"/>
        </w:rPr>
        <w:t>提名单位：</w:t>
      </w:r>
      <w:r>
        <w:rPr>
          <w:rFonts w:asciiTheme="minorEastAsia" w:hAnsiTheme="minorEastAsia" w:hint="eastAsia"/>
          <w:sz w:val="28"/>
          <w:szCs w:val="28"/>
        </w:rPr>
        <w:t>江苏省力学学会</w:t>
      </w:r>
    </w:p>
    <w:p w:rsidR="0025423C" w:rsidRPr="00330C59" w:rsidRDefault="0025423C" w:rsidP="0025423C">
      <w:pPr>
        <w:spacing w:line="560" w:lineRule="exact"/>
        <w:ind w:firstLine="392"/>
        <w:rPr>
          <w:rFonts w:asciiTheme="minorEastAsia" w:hAnsiTheme="minorEastAsia"/>
          <w:sz w:val="28"/>
          <w:szCs w:val="28"/>
        </w:rPr>
      </w:pPr>
      <w:r w:rsidRPr="007338F9">
        <w:rPr>
          <w:rFonts w:asciiTheme="minorEastAsia" w:hAnsiTheme="minorEastAsia"/>
          <w:b/>
          <w:spacing w:val="38"/>
          <w:sz w:val="28"/>
          <w:szCs w:val="28"/>
        </w:rPr>
        <w:t>完成单位：</w:t>
      </w:r>
      <w:r w:rsidRPr="00330C59">
        <w:rPr>
          <w:rFonts w:asciiTheme="minorEastAsia" w:hAnsiTheme="minorEastAsia" w:hint="eastAsia"/>
          <w:sz w:val="28"/>
          <w:szCs w:val="28"/>
        </w:rPr>
        <w:t>南京航空航天大学、中国人民解放军92942部队、</w:t>
      </w:r>
    </w:p>
    <w:p w:rsidR="0025423C" w:rsidRPr="00E568F7" w:rsidRDefault="0025423C" w:rsidP="0025423C">
      <w:pPr>
        <w:spacing w:line="560" w:lineRule="exact"/>
        <w:ind w:leftChars="853" w:left="1791" w:firstLine="392"/>
        <w:rPr>
          <w:rFonts w:asciiTheme="minorEastAsia" w:hAnsiTheme="minorEastAsia"/>
          <w:sz w:val="28"/>
          <w:szCs w:val="28"/>
        </w:rPr>
      </w:pPr>
      <w:r w:rsidRPr="00330C59">
        <w:rPr>
          <w:rFonts w:asciiTheme="minorEastAsia" w:hAnsiTheme="minorEastAsia" w:hint="eastAsia"/>
          <w:sz w:val="28"/>
          <w:szCs w:val="28"/>
        </w:rPr>
        <w:t>武汉纺织大学</w:t>
      </w:r>
    </w:p>
    <w:p w:rsidR="0025423C" w:rsidRDefault="0025423C" w:rsidP="0025423C">
      <w:pPr>
        <w:spacing w:line="560" w:lineRule="exact"/>
        <w:ind w:firstLine="392"/>
        <w:rPr>
          <w:rFonts w:asciiTheme="minorEastAsia" w:hAnsiTheme="minorEastAsia"/>
          <w:sz w:val="28"/>
          <w:szCs w:val="28"/>
        </w:rPr>
      </w:pPr>
      <w:r w:rsidRPr="007338F9">
        <w:rPr>
          <w:rFonts w:asciiTheme="minorEastAsia" w:hAnsiTheme="minorEastAsia"/>
          <w:b/>
          <w:sz w:val="28"/>
          <w:szCs w:val="28"/>
        </w:rPr>
        <w:t>主要完成人：</w:t>
      </w:r>
      <w:r w:rsidRPr="00330C59">
        <w:rPr>
          <w:rFonts w:asciiTheme="minorEastAsia" w:hAnsiTheme="minorEastAsia" w:hint="eastAsia"/>
          <w:sz w:val="28"/>
          <w:szCs w:val="28"/>
        </w:rPr>
        <w:t>卢天健、巨圆圆、邓健、杜志鹏、张瑞、高金</w:t>
      </w:r>
      <w:proofErr w:type="gramStart"/>
      <w:r w:rsidRPr="00330C59">
        <w:rPr>
          <w:rFonts w:asciiTheme="minorEastAsia" w:hAnsiTheme="minorEastAsia" w:hint="eastAsia"/>
          <w:sz w:val="28"/>
          <w:szCs w:val="28"/>
        </w:rPr>
        <w:t>翎</w:t>
      </w:r>
      <w:proofErr w:type="gramEnd"/>
      <w:r w:rsidRPr="00330C59">
        <w:rPr>
          <w:rFonts w:asciiTheme="minorEastAsia" w:hAnsiTheme="minorEastAsia" w:hint="eastAsia"/>
          <w:sz w:val="28"/>
          <w:szCs w:val="28"/>
        </w:rPr>
        <w:t>、魏健</w:t>
      </w:r>
    </w:p>
    <w:p w:rsidR="0025423C" w:rsidRPr="00D258C4" w:rsidRDefault="0025423C" w:rsidP="0025423C">
      <w:pPr>
        <w:spacing w:line="560" w:lineRule="exact"/>
        <w:ind w:firstLineChars="200" w:firstLine="560"/>
        <w:rPr>
          <w:rFonts w:asciiTheme="minorEastAsia" w:hAnsiTheme="minorEastAsia"/>
          <w:sz w:val="28"/>
          <w:szCs w:val="28"/>
        </w:rPr>
      </w:pPr>
      <w:r w:rsidRPr="00D258C4">
        <w:rPr>
          <w:rFonts w:asciiTheme="minorEastAsia" w:hAnsiTheme="minorEastAsia"/>
          <w:sz w:val="28"/>
          <w:szCs w:val="28"/>
        </w:rPr>
        <w:t>水面舰艇抗击反舰导弹毁伤防护以及岸上机库抗击巡航导弹打击，一直是我军的技术瓶颈。传统的防护理论和技术主要采用设置多层隔舱和硬质装甲，受总体尺寸、重量、经费等多方面约束导致防护效果有限，如按照传统思路设计的莫斯科号巡洋舰，防护能力有限，受导弹打击后弹药舱爆炸，导致沉没。此外，舰船的每个要害增强 1%的防护能力，整船就需耗费 10%的排水量，因此，亟需开拓新思路并发展新型防护结构轻量化技术。南京航空航天大学卢天健教授等基于预应力</w:t>
      </w:r>
      <w:proofErr w:type="gramStart"/>
      <w:r w:rsidRPr="00D258C4">
        <w:rPr>
          <w:rFonts w:asciiTheme="minorEastAsia" w:hAnsiTheme="minorEastAsia"/>
          <w:sz w:val="28"/>
          <w:szCs w:val="28"/>
        </w:rPr>
        <w:t>弦</w:t>
      </w:r>
      <w:proofErr w:type="gramEnd"/>
      <w:r w:rsidRPr="00D258C4">
        <w:rPr>
          <w:rFonts w:asciiTheme="minorEastAsia" w:hAnsiTheme="minorEastAsia"/>
          <w:sz w:val="28"/>
          <w:szCs w:val="28"/>
        </w:rPr>
        <w:t>振动和应力波传导理论，结合预储能柔性混杂多孔结构的能量平衡、转化与吸收机制，优化设计孔形貌及复合结构，形成了一种被动式柔性预储能混杂多孔复合材料防护结</w:t>
      </w:r>
      <w:r w:rsidRPr="00D258C4">
        <w:rPr>
          <w:rFonts w:asciiTheme="minorEastAsia" w:hAnsiTheme="minorEastAsia"/>
          <w:sz w:val="28"/>
          <w:szCs w:val="28"/>
        </w:rPr>
        <w:lastRenderedPageBreak/>
        <w:t>构设计理论与技术，该结构构思新颖，设计紧凑，集成度高，快速响应，具有原创性和颠覆性，能够有效提升应用部位的抗毁伤能力，有望突破抗击反舰导弹和巡航导弹毁伤的技术瓶颈。该技术参加“创新杯”国防科技创新大赛名列前茅、获优胜奖，并获得后续立项支持，已成我军大型水面舰艇防护结构以及机库防御的推荐备选方案，具有的显著的军事和经济效益。基于以上工作，研究团队发表了 20 余篇高质量论文，形成了强非线性约束下多功能一体化材料与结构跨尺度设计理论。</w:t>
      </w:r>
    </w:p>
    <w:p w:rsidR="0025423C" w:rsidRPr="00CA2B3A" w:rsidRDefault="0025423C" w:rsidP="0025423C">
      <w:pPr>
        <w:ind w:firstLineChars="200" w:firstLine="480"/>
        <w:rPr>
          <w:rFonts w:asciiTheme="minorEastAsia" w:hAnsiTheme="minorEastAsia"/>
          <w:sz w:val="24"/>
          <w:szCs w:val="28"/>
        </w:rPr>
      </w:pPr>
    </w:p>
    <w:p w:rsidR="0025423C" w:rsidRPr="00CA2B3A" w:rsidRDefault="0025423C" w:rsidP="0025423C">
      <w:pPr>
        <w:pStyle w:val="a5"/>
        <w:numPr>
          <w:ilvl w:val="0"/>
          <w:numId w:val="1"/>
        </w:numPr>
        <w:tabs>
          <w:tab w:val="left" w:pos="709"/>
        </w:tabs>
        <w:spacing w:line="560" w:lineRule="exact"/>
        <w:ind w:firstLineChars="0"/>
        <w:rPr>
          <w:rFonts w:asciiTheme="minorEastAsia" w:hAnsiTheme="minorEastAsia"/>
          <w:b/>
          <w:sz w:val="28"/>
          <w:szCs w:val="28"/>
        </w:rPr>
      </w:pPr>
      <w:r w:rsidRPr="00CA2B3A">
        <w:rPr>
          <w:rFonts w:asciiTheme="minorEastAsia" w:hAnsiTheme="minorEastAsia" w:hint="eastAsia"/>
          <w:b/>
          <w:sz w:val="28"/>
          <w:szCs w:val="28"/>
        </w:rPr>
        <w:t>转录中介因子TIF1γ抑制肺腺癌转移的分子机理研究</w:t>
      </w:r>
    </w:p>
    <w:p w:rsidR="0025423C" w:rsidRPr="00D258C4" w:rsidRDefault="0025423C" w:rsidP="0025423C">
      <w:pPr>
        <w:spacing w:line="560" w:lineRule="exact"/>
        <w:ind w:firstLine="714"/>
        <w:rPr>
          <w:rFonts w:asciiTheme="minorEastAsia" w:hAnsiTheme="minorEastAsia"/>
          <w:b/>
          <w:spacing w:val="38"/>
          <w:sz w:val="28"/>
          <w:szCs w:val="28"/>
        </w:rPr>
      </w:pPr>
      <w:r w:rsidRPr="007338F9">
        <w:rPr>
          <w:rFonts w:asciiTheme="minorEastAsia" w:hAnsiTheme="minorEastAsia" w:hint="eastAsia"/>
          <w:b/>
          <w:spacing w:val="38"/>
          <w:sz w:val="28"/>
          <w:szCs w:val="28"/>
        </w:rPr>
        <w:t>提名单位：</w:t>
      </w:r>
      <w:r w:rsidRPr="00D258C4">
        <w:rPr>
          <w:rFonts w:asciiTheme="minorEastAsia" w:hAnsiTheme="minorEastAsia"/>
          <w:sz w:val="28"/>
          <w:szCs w:val="28"/>
        </w:rPr>
        <w:t>江苏省遗传学会</w:t>
      </w:r>
    </w:p>
    <w:p w:rsidR="0025423C" w:rsidRPr="00E568F7" w:rsidRDefault="0025423C" w:rsidP="0025423C">
      <w:pPr>
        <w:spacing w:line="560" w:lineRule="exact"/>
        <w:ind w:firstLine="714"/>
        <w:rPr>
          <w:rFonts w:asciiTheme="minorEastAsia" w:hAnsiTheme="minorEastAsia"/>
          <w:sz w:val="28"/>
          <w:szCs w:val="28"/>
        </w:rPr>
      </w:pPr>
      <w:r w:rsidRPr="007338F9">
        <w:rPr>
          <w:rFonts w:asciiTheme="minorEastAsia" w:hAnsiTheme="minorEastAsia"/>
          <w:b/>
          <w:spacing w:val="38"/>
          <w:sz w:val="28"/>
          <w:szCs w:val="28"/>
        </w:rPr>
        <w:t>完成单位：</w:t>
      </w:r>
      <w:r w:rsidRPr="00D258C4">
        <w:rPr>
          <w:rFonts w:asciiTheme="minorEastAsia" w:hAnsiTheme="minorEastAsia" w:hint="eastAsia"/>
          <w:sz w:val="28"/>
          <w:szCs w:val="28"/>
        </w:rPr>
        <w:t>苏州大学</w:t>
      </w:r>
    </w:p>
    <w:p w:rsidR="0025423C" w:rsidRDefault="0025423C" w:rsidP="0025423C">
      <w:pPr>
        <w:spacing w:line="560" w:lineRule="exact"/>
        <w:ind w:firstLine="714"/>
        <w:rPr>
          <w:rFonts w:asciiTheme="minorEastAsia" w:hAnsiTheme="minorEastAsia"/>
          <w:sz w:val="28"/>
          <w:szCs w:val="28"/>
        </w:rPr>
      </w:pPr>
      <w:r w:rsidRPr="007338F9">
        <w:rPr>
          <w:rFonts w:asciiTheme="minorEastAsia" w:hAnsiTheme="minorEastAsia"/>
          <w:b/>
          <w:sz w:val="28"/>
          <w:szCs w:val="28"/>
        </w:rPr>
        <w:t>主要完成人：</w:t>
      </w:r>
      <w:r>
        <w:rPr>
          <w:rFonts w:asciiTheme="minorEastAsia" w:hAnsiTheme="minorEastAsia" w:hint="eastAsia"/>
          <w:b/>
          <w:sz w:val="28"/>
          <w:szCs w:val="28"/>
        </w:rPr>
        <w:t xml:space="preserve"> </w:t>
      </w:r>
      <w:r w:rsidRPr="00D258C4">
        <w:rPr>
          <w:rFonts w:asciiTheme="minorEastAsia" w:hAnsiTheme="minorEastAsia" w:hint="eastAsia"/>
          <w:sz w:val="28"/>
          <w:szCs w:val="28"/>
        </w:rPr>
        <w:t>张洪涛、苏志越、汪龙强、童新、雷哲、刘霞</w:t>
      </w:r>
    </w:p>
    <w:p w:rsidR="00116B48" w:rsidRPr="0025423C" w:rsidRDefault="0025423C" w:rsidP="0025423C">
      <w:pPr>
        <w:spacing w:line="560" w:lineRule="exact"/>
        <w:ind w:firstLineChars="200" w:firstLine="560"/>
      </w:pPr>
      <w:r w:rsidRPr="00D258C4">
        <w:rPr>
          <w:rFonts w:asciiTheme="minorEastAsia" w:hAnsiTheme="minorEastAsia"/>
          <w:sz w:val="28"/>
          <w:szCs w:val="28"/>
        </w:rPr>
        <w:t>肺癌作为恶性肿瘤，严重威胁着人民群众的生命与健康。近年来，我国肺癌的发病率与死亡率高居首位，其中非小细胞肺癌（NSCLC）患者约占85%，包括肺腺癌、肺鳞癌以及大细胞癌，肺腺癌在 NSCLC 中占比约 45%。癌细胞转移是引起肿瘤患者死亡的主要原因，研究肺腺癌转移的背后机制尤为重要。该科技进展以此研究领域为切入点，深入系统地研究了转录中介因子 TIF1γ抑制肺腺癌转移的分子机理，研究成果相继发表于国际著名学术期刊 Oncogene（Nature 旗下的权威期刊，IF: 8.756）、Molecular Cancer（IF: 41.444）和 Cell Reports（Cell 子刊，IF: 9.995），三篇论文被国际同行专家引用 271 次,受到了国内外同行的正面评价。该科技进展填补了国内 TIF1γ在抑制肺腺癌转移的作用机制研究方面的空白。值得一提的是，首次阐明了 TIF1γ还具有非依赖 TGF-β信号通路发挥抑制肺腺癌细胞发生 EMT 和侵袭转移的调控机制。这一系列有关 TIF1γ的研究为肺腺癌转移的临床治疗提供了潜在的分子靶标。</w:t>
      </w:r>
      <w:bookmarkStart w:id="0" w:name="_GoBack"/>
      <w:bookmarkEnd w:id="0"/>
    </w:p>
    <w:sectPr w:rsidR="00116B48" w:rsidRPr="0025423C" w:rsidSect="0025423C">
      <w:headerReference w:type="even" r:id="rId8"/>
      <w:headerReference w:type="default" r:id="rId9"/>
      <w:footerReference w:type="even" r:id="rId10"/>
      <w:footerReference w:type="default" r:id="rId11"/>
      <w:headerReference w:type="first" r:id="rId12"/>
      <w:footerReference w:type="first" r:id="rId13"/>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E4E" w:rsidRDefault="00547E4E" w:rsidP="0025423C">
      <w:pPr>
        <w:ind w:firstLine="420"/>
      </w:pPr>
      <w:r>
        <w:separator/>
      </w:r>
    </w:p>
  </w:endnote>
  <w:endnote w:type="continuationSeparator" w:id="0">
    <w:p w:rsidR="00547E4E" w:rsidRDefault="00547E4E" w:rsidP="0025423C">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23C" w:rsidRDefault="0025423C" w:rsidP="0025423C">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23C" w:rsidRDefault="0025423C" w:rsidP="0025423C">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23C" w:rsidRDefault="0025423C" w:rsidP="0025423C">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E4E" w:rsidRDefault="00547E4E" w:rsidP="0025423C">
      <w:pPr>
        <w:ind w:firstLine="420"/>
      </w:pPr>
      <w:r>
        <w:separator/>
      </w:r>
    </w:p>
  </w:footnote>
  <w:footnote w:type="continuationSeparator" w:id="0">
    <w:p w:rsidR="00547E4E" w:rsidRDefault="00547E4E" w:rsidP="0025423C">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23C" w:rsidRDefault="0025423C" w:rsidP="0025423C">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23C" w:rsidRDefault="0025423C" w:rsidP="0025423C">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23C" w:rsidRDefault="0025423C" w:rsidP="0025423C">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A512F"/>
    <w:multiLevelType w:val="hybridMultilevel"/>
    <w:tmpl w:val="C7965624"/>
    <w:lvl w:ilvl="0" w:tplc="7FFA40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57D"/>
    <w:rsid w:val="001029BA"/>
    <w:rsid w:val="00116B48"/>
    <w:rsid w:val="0025423C"/>
    <w:rsid w:val="00273B52"/>
    <w:rsid w:val="00547E4E"/>
    <w:rsid w:val="0065257D"/>
    <w:rsid w:val="00925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23C"/>
    <w:pPr>
      <w:widowControl w:val="0"/>
      <w:spacing w:line="240" w:lineRule="auto"/>
      <w:ind w:firstLineChars="0"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42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423C"/>
    <w:rPr>
      <w:rFonts w:ascii="Arial" w:hAnsi="Arial" w:cs="Arial"/>
      <w:noProof/>
      <w:snapToGrid w:val="0"/>
      <w:color w:val="000000"/>
      <w:kern w:val="0"/>
      <w:sz w:val="18"/>
      <w:szCs w:val="18"/>
    </w:rPr>
  </w:style>
  <w:style w:type="paragraph" w:styleId="a4">
    <w:name w:val="footer"/>
    <w:basedOn w:val="a"/>
    <w:link w:val="Char0"/>
    <w:uiPriority w:val="99"/>
    <w:unhideWhenUsed/>
    <w:rsid w:val="0025423C"/>
    <w:pPr>
      <w:tabs>
        <w:tab w:val="center" w:pos="4153"/>
        <w:tab w:val="right" w:pos="8306"/>
      </w:tabs>
      <w:snapToGrid w:val="0"/>
    </w:pPr>
    <w:rPr>
      <w:sz w:val="18"/>
      <w:szCs w:val="18"/>
    </w:rPr>
  </w:style>
  <w:style w:type="character" w:customStyle="1" w:styleId="Char0">
    <w:name w:val="页脚 Char"/>
    <w:basedOn w:val="a0"/>
    <w:link w:val="a4"/>
    <w:uiPriority w:val="99"/>
    <w:rsid w:val="0025423C"/>
    <w:rPr>
      <w:rFonts w:ascii="Arial" w:hAnsi="Arial" w:cs="Arial"/>
      <w:noProof/>
      <w:snapToGrid w:val="0"/>
      <w:color w:val="000000"/>
      <w:kern w:val="0"/>
      <w:sz w:val="18"/>
      <w:szCs w:val="18"/>
    </w:rPr>
  </w:style>
  <w:style w:type="paragraph" w:styleId="a5">
    <w:name w:val="List Paragraph"/>
    <w:basedOn w:val="a"/>
    <w:uiPriority w:val="34"/>
    <w:qFormat/>
    <w:rsid w:val="0025423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23C"/>
    <w:pPr>
      <w:widowControl w:val="0"/>
      <w:spacing w:line="240" w:lineRule="auto"/>
      <w:ind w:firstLineChars="0"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42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423C"/>
    <w:rPr>
      <w:rFonts w:ascii="Arial" w:hAnsi="Arial" w:cs="Arial"/>
      <w:noProof/>
      <w:snapToGrid w:val="0"/>
      <w:color w:val="000000"/>
      <w:kern w:val="0"/>
      <w:sz w:val="18"/>
      <w:szCs w:val="18"/>
    </w:rPr>
  </w:style>
  <w:style w:type="paragraph" w:styleId="a4">
    <w:name w:val="footer"/>
    <w:basedOn w:val="a"/>
    <w:link w:val="Char0"/>
    <w:uiPriority w:val="99"/>
    <w:unhideWhenUsed/>
    <w:rsid w:val="0025423C"/>
    <w:pPr>
      <w:tabs>
        <w:tab w:val="center" w:pos="4153"/>
        <w:tab w:val="right" w:pos="8306"/>
      </w:tabs>
      <w:snapToGrid w:val="0"/>
    </w:pPr>
    <w:rPr>
      <w:sz w:val="18"/>
      <w:szCs w:val="18"/>
    </w:rPr>
  </w:style>
  <w:style w:type="character" w:customStyle="1" w:styleId="Char0">
    <w:name w:val="页脚 Char"/>
    <w:basedOn w:val="a0"/>
    <w:link w:val="a4"/>
    <w:uiPriority w:val="99"/>
    <w:rsid w:val="0025423C"/>
    <w:rPr>
      <w:rFonts w:ascii="Arial" w:hAnsi="Arial" w:cs="Arial"/>
      <w:noProof/>
      <w:snapToGrid w:val="0"/>
      <w:color w:val="000000"/>
      <w:kern w:val="0"/>
      <w:sz w:val="18"/>
      <w:szCs w:val="18"/>
    </w:rPr>
  </w:style>
  <w:style w:type="paragraph" w:styleId="a5">
    <w:name w:val="List Paragraph"/>
    <w:basedOn w:val="a"/>
    <w:uiPriority w:val="34"/>
    <w:qFormat/>
    <w:rsid w:val="0025423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828</Words>
  <Characters>4721</Characters>
  <Application>Microsoft Office Word</Application>
  <DocSecurity>0</DocSecurity>
  <Lines>39</Lines>
  <Paragraphs>11</Paragraphs>
  <ScaleCrop>false</ScaleCrop>
  <Company>Win10NeT.COM</Company>
  <LinksUpToDate>false</LinksUpToDate>
  <CharactersWithSpaces>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法律事务办负责人</dc:creator>
  <cp:keywords/>
  <dc:description/>
  <cp:lastModifiedBy>法律事务办负责人</cp:lastModifiedBy>
  <cp:revision>2</cp:revision>
  <dcterms:created xsi:type="dcterms:W3CDTF">2023-12-07T05:15:00Z</dcterms:created>
  <dcterms:modified xsi:type="dcterms:W3CDTF">2023-12-07T05:21:00Z</dcterms:modified>
</cp:coreProperties>
</file>